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1C8351A3">
                <wp:simplePos x="0" y="0"/>
                <wp:positionH relativeFrom="margin">
                  <wp:align>left</wp:align>
                </wp:positionH>
                <wp:positionV relativeFrom="page">
                  <wp:posOffset>384810</wp:posOffset>
                </wp:positionV>
                <wp:extent cx="6214745" cy="3709670"/>
                <wp:effectExtent l="19050" t="19050" r="1460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70967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0.3pt;width:489.35pt;height:292.1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" fillcolor="black [3200]" strokecolor="#4472c4 [3208]" strokeweight="2.25pt">
                <v:textbo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v:textbox>
                <w10:wrap type="topAndBottom" anchorx="margin" anchory="page"/>
              </v:shape>
            </w:pict>
          </mc:Fallback>
        </mc:AlternateContent>
      </w:r>
    </w:p>
    <w:p w14:paraId="311F1184" w14:textId="7121112E" w:rsidR="001D5944" w:rsidRPr="005F5D28" w:rsidRDefault="00F653EC" w:rsidP="00F653EC">
      <w:pPr>
        <w:shd w:val="clear" w:color="auto" w:fill="FFFFFF" w:themeFill="background1"/>
        <w:ind w:right="-279"/>
        <w:jc w:val="both"/>
        <w:rPr>
          <w:rFonts w:ascii="Times New Roman" w:hAnsi="Times New Roman" w:cs="Times New Roman"/>
          <w:color w:val="000000" w:themeColor="text1"/>
          <w:sz w:val="32"/>
          <w:szCs w:val="32"/>
        </w:rPr>
      </w:pPr>
      <w:r w:rsidRPr="005F5D28">
        <w:rPr>
          <w:rFonts w:ascii="Times New Roman" w:hAnsi="Times New Roman" w:cs="Times New Roman"/>
          <w:color w:val="000000" w:themeColor="text1"/>
          <w:sz w:val="24"/>
          <w:szCs w:val="24"/>
        </w:rPr>
        <w:t>Na temelju članka 58. stavka 1. Pravilnika o provedbi mjera Programa ruralnog razvoja Republike Hrvatske za razdoblje 2014. – 2020. (NN br. 91/2019, 37/2020</w:t>
      </w:r>
      <w:r w:rsidRPr="005F5D28">
        <w:rPr>
          <w:rFonts w:ascii="Times New Roman" w:hAnsi="Times New Roman" w:cs="Times New Roman"/>
          <w:sz w:val="24"/>
          <w:szCs w:val="24"/>
        </w:rPr>
        <w:t xml:space="preserve">, </w:t>
      </w:r>
      <w:r w:rsidR="00E24EE7" w:rsidRPr="005F5D28">
        <w:rPr>
          <w:rFonts w:ascii="Times New Roman" w:hAnsi="Times New Roman" w:cs="Times New Roman"/>
          <w:sz w:val="24"/>
          <w:szCs w:val="24"/>
        </w:rPr>
        <w:t>31/2021</w:t>
      </w:r>
      <w:r w:rsidR="004070F4" w:rsidRPr="005F5D28">
        <w:rPr>
          <w:rFonts w:ascii="Times New Roman" w:hAnsi="Times New Roman" w:cs="Times New Roman"/>
          <w:sz w:val="24"/>
          <w:szCs w:val="24"/>
        </w:rPr>
        <w:t>, 134/2021</w:t>
      </w:r>
      <w:r w:rsidR="00E24EE7" w:rsidRPr="005F5D28">
        <w:rPr>
          <w:rFonts w:ascii="Times New Roman" w:hAnsi="Times New Roman" w:cs="Times New Roman"/>
          <w:sz w:val="24"/>
          <w:szCs w:val="24"/>
        </w:rPr>
        <w:t>)</w:t>
      </w:r>
      <w:r w:rsidRPr="005F5D28">
        <w:rPr>
          <w:rFonts w:ascii="Times New Roman" w:hAnsi="Times New Roman" w:cs="Times New Roman"/>
          <w:sz w:val="24"/>
          <w:szCs w:val="24"/>
        </w:rPr>
        <w:t xml:space="preserve">, a </w:t>
      </w:r>
      <w:r w:rsidRPr="005F5D28">
        <w:rPr>
          <w:rFonts w:ascii="Times New Roman" w:hAnsi="Times New Roman" w:cs="Times New Roman"/>
          <w:color w:val="000000" w:themeColor="text1"/>
          <w:sz w:val="24"/>
          <w:szCs w:val="24"/>
        </w:rPr>
        <w:t>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w:t>
      </w:r>
      <w:r w:rsidR="00AD22C7" w:rsidRPr="005F5D28">
        <w:rPr>
          <w:rFonts w:ascii="Times New Roman" w:hAnsi="Times New Roman" w:cs="Times New Roman"/>
          <w:color w:val="000000" w:themeColor="text1"/>
          <w:sz w:val="24"/>
          <w:szCs w:val="24"/>
        </w:rPr>
        <w:t>VINODOL</w:t>
      </w:r>
      <w:r w:rsidRPr="005F5D28">
        <w:rPr>
          <w:rFonts w:ascii="Times New Roman" w:hAnsi="Times New Roman" w:cs="Times New Roman"/>
          <w:color w:val="000000" w:themeColor="text1"/>
          <w:sz w:val="24"/>
          <w:szCs w:val="24"/>
        </w:rPr>
        <w:t xml:space="preserve">“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DADFF20" w14:textId="47D2A63A" w:rsidR="00E04324" w:rsidRPr="005F5D28" w:rsidRDefault="00DF6028"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 xml:space="preserve">NATJEČAJ ZA </w:t>
      </w:r>
      <w:r w:rsidR="00D37FDA" w:rsidRPr="005F5D28">
        <w:rPr>
          <w:rFonts w:ascii="Times New Roman" w:hAnsi="Times New Roman" w:cs="Times New Roman"/>
          <w:b/>
          <w:color w:val="000000" w:themeColor="text1"/>
          <w:sz w:val="36"/>
          <w:szCs w:val="36"/>
        </w:rPr>
        <w:t>PROVEDBU</w:t>
      </w:r>
      <w:r w:rsidR="00AD22C7" w:rsidRPr="005F5D28">
        <w:rPr>
          <w:rFonts w:ascii="Times New Roman" w:hAnsi="Times New Roman" w:cs="Times New Roman"/>
          <w:b/>
          <w:color w:val="000000" w:themeColor="text1"/>
          <w:sz w:val="36"/>
          <w:szCs w:val="36"/>
        </w:rPr>
        <w:t xml:space="preserve"> MJERE 3.1.1.</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„POKRETANJE,</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POBOLJŠANJE ILI PROŠIRENJE LOKALNIH TEMELJNIH</w:t>
      </w:r>
    </w:p>
    <w:p w14:paraId="05484345" w14:textId="773FDDB4" w:rsidR="00D37FDA" w:rsidRPr="005F5D28" w:rsidRDefault="00AD22C7"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USLUGA ZA RURALNO STANOVNIŠTVO“</w:t>
      </w:r>
    </w:p>
    <w:p w14:paraId="45ECF995" w14:textId="560972E4" w:rsidR="00C45710" w:rsidRPr="005F5D28" w:rsidRDefault="00E04324" w:rsidP="00E04324">
      <w:pPr>
        <w:shd w:val="clear" w:color="auto" w:fill="FFFFFF" w:themeFill="background1"/>
        <w:tabs>
          <w:tab w:val="left" w:pos="426"/>
          <w:tab w:val="left" w:pos="8647"/>
        </w:tabs>
        <w:spacing w:line="276" w:lineRule="auto"/>
        <w:ind w:right="-563"/>
        <w:jc w:val="center"/>
        <w:rPr>
          <w:rFonts w:ascii="Times New Roman" w:hAnsi="Times New Roman" w:cs="Times New Roman"/>
          <w:b/>
          <w:i/>
          <w:iCs/>
          <w:color w:val="000000" w:themeColor="text1"/>
          <w:sz w:val="26"/>
          <w:szCs w:val="26"/>
          <w:shd w:val="clear" w:color="auto" w:fill="BFBFBF" w:themeFill="background1" w:themeFillShade="BF"/>
        </w:rPr>
      </w:pPr>
      <w:r w:rsidRPr="005F5D28">
        <w:rPr>
          <w:rFonts w:ascii="Times New Roman" w:hAnsi="Times New Roman" w:cs="Times New Roman"/>
          <w:b/>
          <w:i/>
          <w:iCs/>
          <w:color w:val="000000" w:themeColor="text1"/>
          <w:sz w:val="26"/>
          <w:szCs w:val="26"/>
        </w:rPr>
        <w:t>Mjera je sukladna tipu operacije 7.4.1. iz Programa ruralnog razvoja RH 2014. – 2020.</w:t>
      </w:r>
    </w:p>
    <w:p w14:paraId="5E7F7F6B" w14:textId="77777777" w:rsidR="003175C8" w:rsidRPr="00E24EE7"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69D585A" w14:textId="42CC68A0" w:rsidR="003175C8" w:rsidRPr="00E24EE7" w:rsidRDefault="00E04324" w:rsidP="00F1774B">
      <w:pPr>
        <w:pStyle w:val="Zaglavlje"/>
        <w:shd w:val="clear" w:color="auto" w:fill="FFFFFF" w:themeFill="background1"/>
        <w:ind w:right="-27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Referentna oznaka: </w:t>
      </w:r>
      <w:r w:rsidR="005F5D2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31100</w:t>
      </w: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37FB7989" w14:textId="7415CD2D" w:rsidR="003051B7" w:rsidRPr="00E24EE7"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Verzija:</w:t>
      </w:r>
      <w:r w:rsidR="00E04324">
        <w:rPr>
          <w:rFonts w:ascii="Times New Roman" w:hAnsi="Times New Roman" w:cs="Times New Roman"/>
          <w:color w:val="000000" w:themeColor="text1"/>
          <w:sz w:val="24"/>
          <w:szCs w:val="24"/>
        </w:rPr>
        <w:t xml:space="preserve"> 7.</w:t>
      </w:r>
      <w:r w:rsidR="006F5EC4">
        <w:rPr>
          <w:rFonts w:ascii="Times New Roman" w:hAnsi="Times New Roman" w:cs="Times New Roman"/>
          <w:color w:val="000000" w:themeColor="text1"/>
          <w:sz w:val="24"/>
          <w:szCs w:val="24"/>
        </w:rPr>
        <w:t>2</w:t>
      </w:r>
    </w:p>
    <w:p w14:paraId="2F66FAB5" w14:textId="31DDFE21"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Datum: </w:t>
      </w:r>
      <w:r w:rsidR="006F5EC4">
        <w:rPr>
          <w:rFonts w:ascii="Times New Roman" w:hAnsi="Times New Roman" w:cs="Times New Roman"/>
          <w:color w:val="000000" w:themeColor="text1"/>
          <w:sz w:val="24"/>
          <w:szCs w:val="24"/>
        </w:rPr>
        <w:t>20</w:t>
      </w:r>
      <w:r w:rsidR="00E04324" w:rsidRPr="00E04324">
        <w:rPr>
          <w:rFonts w:ascii="Times New Roman" w:hAnsi="Times New Roman" w:cs="Times New Roman"/>
          <w:color w:val="000000" w:themeColor="text1"/>
          <w:sz w:val="24"/>
          <w:szCs w:val="24"/>
        </w:rPr>
        <w:t>.</w:t>
      </w:r>
      <w:r w:rsidR="006F5EC4">
        <w:rPr>
          <w:rFonts w:ascii="Times New Roman" w:hAnsi="Times New Roman" w:cs="Times New Roman"/>
          <w:color w:val="000000" w:themeColor="text1"/>
          <w:sz w:val="24"/>
          <w:szCs w:val="24"/>
        </w:rPr>
        <w:t>0</w:t>
      </w:r>
      <w:r w:rsidR="00FD40EC">
        <w:rPr>
          <w:rFonts w:ascii="Times New Roman" w:hAnsi="Times New Roman" w:cs="Times New Roman"/>
          <w:color w:val="000000" w:themeColor="text1"/>
          <w:sz w:val="24"/>
          <w:szCs w:val="24"/>
        </w:rPr>
        <w:t>2</w:t>
      </w:r>
      <w:r w:rsidR="00E04324" w:rsidRPr="00E04324">
        <w:rPr>
          <w:rFonts w:ascii="Times New Roman" w:hAnsi="Times New Roman" w:cs="Times New Roman"/>
          <w:color w:val="000000" w:themeColor="text1"/>
          <w:sz w:val="24"/>
          <w:szCs w:val="24"/>
        </w:rPr>
        <w:t>.202</w:t>
      </w:r>
      <w:r w:rsidR="006F5EC4">
        <w:rPr>
          <w:rFonts w:ascii="Times New Roman" w:hAnsi="Times New Roman" w:cs="Times New Roman"/>
          <w:color w:val="000000" w:themeColor="text1"/>
          <w:sz w:val="24"/>
          <w:szCs w:val="24"/>
        </w:rPr>
        <w:t>3</w:t>
      </w:r>
      <w:r w:rsidR="00E04324" w:rsidRPr="00E04324">
        <w:rPr>
          <w:rFonts w:ascii="Times New Roman" w:hAnsi="Times New Roman" w:cs="Times New Roman"/>
          <w:color w:val="000000" w:themeColor="text1"/>
          <w:sz w:val="24"/>
          <w:szCs w:val="24"/>
        </w:rPr>
        <w:t>.</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5F5D28"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5F5D28">
            <w:rPr>
              <w:rFonts w:ascii="Times New Roman" w:hAnsi="Times New Roman" w:cs="Times New Roman"/>
              <w:b/>
              <w:color w:val="000000" w:themeColor="text1"/>
              <w:sz w:val="24"/>
              <w:szCs w:val="24"/>
              <w:lang w:val="hr-HR"/>
            </w:rPr>
            <w:t>SADRŽAJ</w:t>
          </w:r>
        </w:p>
        <w:p w14:paraId="6F6DB7F1" w14:textId="56AC0F98" w:rsidR="00B02264" w:rsidRPr="00B02264" w:rsidRDefault="00DE5834">
          <w:pPr>
            <w:pStyle w:val="Sadraj1"/>
            <w:tabs>
              <w:tab w:val="right" w:leader="dot" w:pos="9350"/>
            </w:tabs>
            <w:rPr>
              <w:rFonts w:asciiTheme="minorHAnsi" w:eastAsiaTheme="minorEastAsia" w:hAnsiTheme="minorHAnsi" w:cstheme="minorBidi"/>
              <w:noProof/>
              <w:sz w:val="22"/>
              <w:szCs w:val="22"/>
              <w:lang w:eastAsia="hr-HR"/>
            </w:rPr>
          </w:pPr>
          <w:r w:rsidRPr="00B02264">
            <w:rPr>
              <w:color w:val="000000" w:themeColor="text1"/>
              <w:sz w:val="22"/>
              <w:szCs w:val="22"/>
            </w:rPr>
            <w:fldChar w:fldCharType="begin"/>
          </w:r>
          <w:r w:rsidRPr="00B02264">
            <w:rPr>
              <w:color w:val="000000" w:themeColor="text1"/>
              <w:sz w:val="22"/>
              <w:szCs w:val="22"/>
            </w:rPr>
            <w:instrText xml:space="preserve"> TOC \o "1-2" \u </w:instrText>
          </w:r>
          <w:r w:rsidRPr="00B02264">
            <w:rPr>
              <w:color w:val="000000" w:themeColor="text1"/>
              <w:sz w:val="22"/>
              <w:szCs w:val="22"/>
            </w:rPr>
            <w:fldChar w:fldCharType="separate"/>
          </w:r>
          <w:r w:rsidR="00B02264" w:rsidRPr="00B02264">
            <w:rPr>
              <w:b/>
              <w:noProof/>
              <w:color w:val="000000" w:themeColor="text1"/>
              <w:sz w:val="22"/>
              <w:szCs w:val="22"/>
            </w:rPr>
            <w:t>1     OPĆE ODREDBE</w:t>
          </w:r>
          <w:r w:rsidR="00B02264" w:rsidRPr="00B02264">
            <w:rPr>
              <w:noProof/>
              <w:sz w:val="22"/>
              <w:szCs w:val="22"/>
            </w:rPr>
            <w:tab/>
          </w:r>
          <w:r w:rsidR="00B02264" w:rsidRPr="00B02264">
            <w:rPr>
              <w:noProof/>
              <w:sz w:val="22"/>
              <w:szCs w:val="22"/>
            </w:rPr>
            <w:fldChar w:fldCharType="begin"/>
          </w:r>
          <w:r w:rsidR="00B02264" w:rsidRPr="00B02264">
            <w:rPr>
              <w:noProof/>
              <w:sz w:val="22"/>
              <w:szCs w:val="22"/>
            </w:rPr>
            <w:instrText xml:space="preserve"> PAGEREF _Toc120174271 \h </w:instrText>
          </w:r>
          <w:r w:rsidR="00B02264" w:rsidRPr="00B02264">
            <w:rPr>
              <w:noProof/>
              <w:sz w:val="22"/>
              <w:szCs w:val="22"/>
            </w:rPr>
          </w:r>
          <w:r w:rsidR="00B02264" w:rsidRPr="00B02264">
            <w:rPr>
              <w:noProof/>
              <w:sz w:val="22"/>
              <w:szCs w:val="22"/>
            </w:rPr>
            <w:fldChar w:fldCharType="separate"/>
          </w:r>
          <w:r w:rsidR="00B02264" w:rsidRPr="00B02264">
            <w:rPr>
              <w:noProof/>
              <w:sz w:val="22"/>
              <w:szCs w:val="22"/>
            </w:rPr>
            <w:t>3</w:t>
          </w:r>
          <w:r w:rsidR="00B02264" w:rsidRPr="00B02264">
            <w:rPr>
              <w:noProof/>
              <w:sz w:val="22"/>
              <w:szCs w:val="22"/>
            </w:rPr>
            <w:fldChar w:fldCharType="end"/>
          </w:r>
        </w:p>
        <w:p w14:paraId="5F36899E" w14:textId="22CFB49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Predmet, svrha i raspoloživa sredstva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_Toc120174272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4A4A4FFC" w14:textId="75F63C1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Pojmovi i kratice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_Toc120174273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1FEB4B5E" w14:textId="24988B15"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Iznos, udio i intenzitet javne potpore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_Toc120174274 \h </w:instrText>
          </w:r>
          <w:r w:rsidRPr="00B02264">
            <w:rPr>
              <w:noProof/>
              <w:sz w:val="22"/>
              <w:szCs w:val="22"/>
            </w:rPr>
          </w:r>
          <w:r w:rsidRPr="00B02264">
            <w:rPr>
              <w:noProof/>
              <w:sz w:val="22"/>
              <w:szCs w:val="22"/>
            </w:rPr>
            <w:fldChar w:fldCharType="separate"/>
          </w:r>
          <w:r w:rsidRPr="00B02264">
            <w:rPr>
              <w:noProof/>
              <w:sz w:val="22"/>
              <w:szCs w:val="22"/>
            </w:rPr>
            <w:t>5</w:t>
          </w:r>
          <w:r w:rsidRPr="00B02264">
            <w:rPr>
              <w:noProof/>
              <w:sz w:val="22"/>
              <w:szCs w:val="22"/>
            </w:rPr>
            <w:fldChar w:fldCharType="end"/>
          </w:r>
        </w:p>
        <w:p w14:paraId="20B7204E" w14:textId="48AA004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2</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ZAHTJEVI ZA NOSITELJA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_Toc120174275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C5F0AEE" w14:textId="7E85621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nositelja projekta (Tko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_Toc120174276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553327F3" w14:textId="0C85A19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Broj prijava projekata po nositelju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_Toc120174277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69066CD" w14:textId="61AFA1B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za isključenje nositelja projekta (Tko ne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_Toc120174278 \h </w:instrText>
          </w:r>
          <w:r w:rsidRPr="00B02264">
            <w:rPr>
              <w:noProof/>
              <w:sz w:val="22"/>
              <w:szCs w:val="22"/>
            </w:rPr>
          </w:r>
          <w:r w:rsidRPr="00B02264">
            <w:rPr>
              <w:noProof/>
              <w:sz w:val="22"/>
              <w:szCs w:val="22"/>
            </w:rPr>
            <w:fldChar w:fldCharType="separate"/>
          </w:r>
          <w:r w:rsidRPr="00B02264">
            <w:rPr>
              <w:noProof/>
              <w:sz w:val="22"/>
              <w:szCs w:val="22"/>
            </w:rPr>
            <w:t>8</w:t>
          </w:r>
          <w:r w:rsidRPr="00B02264">
            <w:rPr>
              <w:noProof/>
              <w:sz w:val="22"/>
              <w:szCs w:val="22"/>
            </w:rPr>
            <w:fldChar w:fldCharType="end"/>
          </w:r>
        </w:p>
        <w:p w14:paraId="0CC491EE" w14:textId="688206F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Zahtjevi koji se odnose na sposobnost nositelja projekta, učinkovito korištenje sredstava i održivost rezultata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_Toc120174279 \h </w:instrText>
          </w:r>
          <w:r w:rsidRPr="00B02264">
            <w:rPr>
              <w:noProof/>
              <w:sz w:val="22"/>
              <w:szCs w:val="22"/>
            </w:rPr>
          </w:r>
          <w:r w:rsidRPr="00B02264">
            <w:rPr>
              <w:noProof/>
              <w:sz w:val="22"/>
              <w:szCs w:val="22"/>
            </w:rPr>
            <w:fldChar w:fldCharType="separate"/>
          </w:r>
          <w:r w:rsidRPr="00B02264">
            <w:rPr>
              <w:noProof/>
              <w:sz w:val="22"/>
              <w:szCs w:val="22"/>
            </w:rPr>
            <w:t>10</w:t>
          </w:r>
          <w:r w:rsidRPr="00B02264">
            <w:rPr>
              <w:noProof/>
              <w:sz w:val="22"/>
              <w:szCs w:val="22"/>
            </w:rPr>
            <w:fldChar w:fldCharType="end"/>
          </w:r>
        </w:p>
        <w:p w14:paraId="6C1F0790" w14:textId="4DF7B8DB"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3</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OPĆI ZAHTJEVI POSTUPKA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_Toc120174280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7D7210AD" w14:textId="23BB883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Prihvatljivi projekti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_Toc120174281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1BF6B64F" w14:textId="5D2E990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_Toc120174282 \h </w:instrText>
          </w:r>
          <w:r w:rsidRPr="00B02264">
            <w:rPr>
              <w:noProof/>
              <w:sz w:val="22"/>
              <w:szCs w:val="22"/>
            </w:rPr>
          </w:r>
          <w:r w:rsidRPr="00B02264">
            <w:rPr>
              <w:noProof/>
              <w:sz w:val="22"/>
              <w:szCs w:val="22"/>
            </w:rPr>
            <w:fldChar w:fldCharType="separate"/>
          </w:r>
          <w:r w:rsidRPr="00B02264">
            <w:rPr>
              <w:noProof/>
              <w:sz w:val="22"/>
              <w:szCs w:val="22"/>
            </w:rPr>
            <w:t>13</w:t>
          </w:r>
          <w:r w:rsidRPr="00B02264">
            <w:rPr>
              <w:noProof/>
              <w:sz w:val="22"/>
              <w:szCs w:val="22"/>
            </w:rPr>
            <w:fldChar w:fldCharType="end"/>
          </w:r>
        </w:p>
        <w:p w14:paraId="62BCB91B" w14:textId="740CF0C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troškova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_Toc120174283 \h </w:instrText>
          </w:r>
          <w:r w:rsidRPr="00B02264">
            <w:rPr>
              <w:noProof/>
              <w:sz w:val="22"/>
              <w:szCs w:val="22"/>
            </w:rPr>
          </w:r>
          <w:r w:rsidRPr="00B02264">
            <w:rPr>
              <w:noProof/>
              <w:sz w:val="22"/>
              <w:szCs w:val="22"/>
            </w:rPr>
            <w:fldChar w:fldCharType="separate"/>
          </w:r>
          <w:r w:rsidRPr="00B02264">
            <w:rPr>
              <w:noProof/>
              <w:sz w:val="22"/>
              <w:szCs w:val="22"/>
            </w:rPr>
            <w:t>15</w:t>
          </w:r>
          <w:r w:rsidRPr="00B02264">
            <w:rPr>
              <w:noProof/>
              <w:sz w:val="22"/>
              <w:szCs w:val="22"/>
            </w:rPr>
            <w:fldChar w:fldCharType="end"/>
          </w:r>
        </w:p>
        <w:p w14:paraId="7D163ACA" w14:textId="0A4D096B"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_Toc120174284 \h </w:instrText>
          </w:r>
          <w:r w:rsidRPr="00B02264">
            <w:rPr>
              <w:noProof/>
              <w:sz w:val="22"/>
              <w:szCs w:val="22"/>
            </w:rPr>
          </w:r>
          <w:r w:rsidRPr="00B02264">
            <w:rPr>
              <w:noProof/>
              <w:sz w:val="22"/>
              <w:szCs w:val="22"/>
            </w:rPr>
            <w:fldChar w:fldCharType="separate"/>
          </w:r>
          <w:r w:rsidRPr="00B02264">
            <w:rPr>
              <w:noProof/>
              <w:sz w:val="22"/>
              <w:szCs w:val="22"/>
            </w:rPr>
            <w:t>17</w:t>
          </w:r>
          <w:r w:rsidRPr="00B02264">
            <w:rPr>
              <w:noProof/>
              <w:sz w:val="22"/>
              <w:szCs w:val="22"/>
            </w:rPr>
            <w:fldChar w:fldCharType="end"/>
          </w:r>
        </w:p>
        <w:p w14:paraId="58DA4C7F" w14:textId="74F0C76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4</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ADMINISTRATIVNE INFORMACIJE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_Toc120174285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49B57A61" w14:textId="755D32B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Podnošenje prijave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_Toc120174286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5224B7B3" w14:textId="0D78C75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Izmjena i/ili ispravak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_Toc120174287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65A82D69" w14:textId="08C3824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Poništenje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_Toc120174288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7FE2F7BF" w14:textId="09A8927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Pitanja i odgovori te objava rezultata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_Toc120174289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41475C16" w14:textId="67CC33C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Zaštita podataka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_Toc120174290 \h </w:instrText>
          </w:r>
          <w:r w:rsidRPr="00B02264">
            <w:rPr>
              <w:noProof/>
              <w:sz w:val="22"/>
              <w:szCs w:val="22"/>
            </w:rPr>
          </w:r>
          <w:r w:rsidRPr="00B02264">
            <w:rPr>
              <w:noProof/>
              <w:sz w:val="22"/>
              <w:szCs w:val="22"/>
            </w:rPr>
            <w:fldChar w:fldCharType="separate"/>
          </w:r>
          <w:r w:rsidRPr="00B02264">
            <w:rPr>
              <w:noProof/>
              <w:sz w:val="22"/>
              <w:szCs w:val="22"/>
            </w:rPr>
            <w:t>20</w:t>
          </w:r>
          <w:r w:rsidRPr="00B02264">
            <w:rPr>
              <w:noProof/>
              <w:sz w:val="22"/>
              <w:szCs w:val="22"/>
            </w:rPr>
            <w:fldChar w:fldCharType="end"/>
          </w:r>
        </w:p>
        <w:p w14:paraId="69A4A203" w14:textId="037E849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5</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POSTUPAK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_Toc120174291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6BE84E1D" w14:textId="0314A6F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Faze u postupku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_Toc120174292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4A09A67F" w14:textId="2C7BF1B7"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Administrativna kontrola projekata (Analiza 1)</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_Toc120174293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6F4528A1" w14:textId="140D3EC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Ocjenjivanje projekata (Analiza 2)</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_Toc120174294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4B34A82A" w14:textId="00B82CE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Odabir projekata od strane UO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_Toc120174295 \h </w:instrText>
          </w:r>
          <w:r w:rsidRPr="00B02264">
            <w:rPr>
              <w:noProof/>
              <w:sz w:val="22"/>
              <w:szCs w:val="22"/>
            </w:rPr>
          </w:r>
          <w:r w:rsidRPr="00B02264">
            <w:rPr>
              <w:noProof/>
              <w:sz w:val="22"/>
              <w:szCs w:val="22"/>
            </w:rPr>
            <w:fldChar w:fldCharType="separate"/>
          </w:r>
          <w:r w:rsidRPr="00B02264">
            <w:rPr>
              <w:noProof/>
              <w:sz w:val="22"/>
              <w:szCs w:val="22"/>
            </w:rPr>
            <w:t>23</w:t>
          </w:r>
          <w:r w:rsidRPr="00B02264">
            <w:rPr>
              <w:noProof/>
              <w:sz w:val="22"/>
              <w:szCs w:val="22"/>
            </w:rPr>
            <w:fldChar w:fldCharType="end"/>
          </w:r>
        </w:p>
        <w:p w14:paraId="3E2440E1" w14:textId="30FC73C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Prigovori na odluke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_Toc120174296 \h </w:instrText>
          </w:r>
          <w:r w:rsidRPr="00B02264">
            <w:rPr>
              <w:noProof/>
              <w:sz w:val="22"/>
              <w:szCs w:val="22"/>
            </w:rPr>
          </w:r>
          <w:r w:rsidRPr="00B02264">
            <w:rPr>
              <w:noProof/>
              <w:sz w:val="22"/>
              <w:szCs w:val="22"/>
            </w:rPr>
            <w:fldChar w:fldCharType="separate"/>
          </w:r>
          <w:r w:rsidRPr="00B02264">
            <w:rPr>
              <w:noProof/>
              <w:sz w:val="22"/>
              <w:szCs w:val="22"/>
            </w:rPr>
            <w:t>24</w:t>
          </w:r>
          <w:r w:rsidRPr="00B02264">
            <w:rPr>
              <w:noProof/>
              <w:sz w:val="22"/>
              <w:szCs w:val="22"/>
            </w:rPr>
            <w:fldChar w:fldCharType="end"/>
          </w:r>
        </w:p>
        <w:p w14:paraId="0FD9C79D" w14:textId="701C1B5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5.6</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Postupak nakon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_Toc120174297 \h </w:instrText>
          </w:r>
          <w:r w:rsidRPr="00B02264">
            <w:rPr>
              <w:noProof/>
              <w:sz w:val="22"/>
              <w:szCs w:val="22"/>
            </w:rPr>
          </w:r>
          <w:r w:rsidRPr="00B02264">
            <w:rPr>
              <w:noProof/>
              <w:sz w:val="22"/>
              <w:szCs w:val="22"/>
            </w:rPr>
            <w:fldChar w:fldCharType="separate"/>
          </w:r>
          <w:r w:rsidRPr="00B02264">
            <w:rPr>
              <w:noProof/>
              <w:sz w:val="22"/>
              <w:szCs w:val="22"/>
            </w:rPr>
            <w:t>26</w:t>
          </w:r>
          <w:r w:rsidRPr="00B02264">
            <w:rPr>
              <w:noProof/>
              <w:sz w:val="22"/>
              <w:szCs w:val="22"/>
            </w:rPr>
            <w:fldChar w:fldCharType="end"/>
          </w:r>
        </w:p>
        <w:p w14:paraId="30CB9DA4" w14:textId="075D2DE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6</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OBRASCI I PRILOZI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_Toc120174298 \h </w:instrText>
          </w:r>
          <w:r w:rsidRPr="00B02264">
            <w:rPr>
              <w:noProof/>
              <w:sz w:val="22"/>
              <w:szCs w:val="22"/>
            </w:rPr>
          </w:r>
          <w:r w:rsidRPr="00B02264">
            <w:rPr>
              <w:noProof/>
              <w:sz w:val="22"/>
              <w:szCs w:val="22"/>
            </w:rPr>
            <w:fldChar w:fldCharType="separate"/>
          </w:r>
          <w:r w:rsidRPr="00B02264">
            <w:rPr>
              <w:noProof/>
              <w:sz w:val="22"/>
              <w:szCs w:val="22"/>
            </w:rPr>
            <w:t>27</w:t>
          </w:r>
          <w:r w:rsidRPr="00B02264">
            <w:rPr>
              <w:noProof/>
              <w:sz w:val="22"/>
              <w:szCs w:val="22"/>
            </w:rPr>
            <w:fldChar w:fldCharType="end"/>
          </w:r>
        </w:p>
        <w:p w14:paraId="00C27D69" w14:textId="0E6B5A9F" w:rsidR="00F1774B" w:rsidRPr="00E24EE7" w:rsidRDefault="00DE5834" w:rsidP="000F4779">
          <w:pPr>
            <w:rPr>
              <w:rFonts w:ascii="Times New Roman" w:eastAsiaTheme="majorEastAsia" w:hAnsi="Times New Roman" w:cs="Times New Roman"/>
              <w:b/>
              <w:color w:val="000000" w:themeColor="text1"/>
              <w:sz w:val="24"/>
              <w:szCs w:val="24"/>
            </w:rPr>
          </w:pPr>
          <w:r w:rsidRPr="00B02264">
            <w:rPr>
              <w:rFonts w:ascii="Times New Roman" w:eastAsia="Times New Roman" w:hAnsi="Times New Roman" w:cs="Times New Roman"/>
              <w:color w:val="000000" w:themeColor="text1"/>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5" w:name="_Toc120174271"/>
      <w:r w:rsidRPr="00E24EE7">
        <w:rPr>
          <w:rFonts w:ascii="Times New Roman" w:hAnsi="Times New Roman" w:cs="Times New Roman"/>
          <w:b/>
          <w:color w:val="000000" w:themeColor="text1"/>
          <w:sz w:val="24"/>
          <w:szCs w:val="24"/>
        </w:rPr>
        <w:lastRenderedPageBreak/>
        <w:t xml:space="preserve">1     </w:t>
      </w:r>
      <w:bookmarkEnd w:id="0"/>
      <w:r w:rsidR="00DE6539" w:rsidRPr="00E24EE7">
        <w:rPr>
          <w:rFonts w:ascii="Times New Roman" w:hAnsi="Times New Roman" w:cs="Times New Roman"/>
          <w:b/>
          <w:color w:val="000000" w:themeColor="text1"/>
          <w:sz w:val="24"/>
          <w:szCs w:val="24"/>
        </w:rPr>
        <w:t>OPĆE ODREDBE</w:t>
      </w:r>
      <w:bookmarkEnd w:id="4"/>
      <w:bookmarkEnd w:id="3"/>
      <w:bookmarkEnd w:id="2"/>
      <w:bookmarkEnd w:id="1"/>
      <w:bookmarkEnd w:id="5"/>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120174272"/>
      <w:r w:rsidRPr="00E24EE7">
        <w:rPr>
          <w:rFonts w:ascii="Times New Roman" w:eastAsia="Times New Roman" w:hAnsi="Times New Roman" w:cs="Times New Roman"/>
          <w:b/>
          <w:color w:val="000000" w:themeColor="text1"/>
          <w:sz w:val="24"/>
          <w:szCs w:val="24"/>
        </w:rPr>
        <w:t>Pr</w:t>
      </w:r>
      <w:bookmarkEnd w:id="6"/>
      <w:bookmarkEnd w:id="7"/>
      <w:bookmarkEnd w:id="8"/>
      <w:bookmarkEnd w:id="9"/>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0"/>
    </w:p>
    <w:p w14:paraId="0F74DD45" w14:textId="182212B0"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za nositelje projekata</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9D4D6A">
        <w:rPr>
          <w:rStyle w:val="hps"/>
          <w:rFonts w:ascii="Times New Roman" w:eastAsia="Times New Roman" w:hAnsi="Times New Roman" w:cs="Times New Roman"/>
          <w:bCs/>
          <w:color w:val="000000" w:themeColor="text1"/>
          <w:sz w:val="24"/>
          <w:szCs w:val="24"/>
          <w:lang w:eastAsia="ar-SA"/>
        </w:rPr>
        <w:t xml:space="preserve"> „VINODO</w:t>
      </w:r>
      <w:r w:rsidR="009D4D6A" w:rsidRPr="009D4D6A">
        <w:rPr>
          <w:rStyle w:val="hps"/>
          <w:rFonts w:ascii="Times New Roman" w:eastAsia="Times New Roman" w:hAnsi="Times New Roman" w:cs="Times New Roman"/>
          <w:bCs/>
          <w:color w:val="000000" w:themeColor="text1"/>
          <w:sz w:val="24"/>
          <w:szCs w:val="24"/>
          <w:lang w:eastAsia="ar-SA"/>
        </w:rPr>
        <w:t>L“</w:t>
      </w:r>
      <w:r w:rsidRPr="009D4D6A">
        <w:rPr>
          <w:rStyle w:val="hps"/>
          <w:rFonts w:ascii="Times New Roman" w:eastAsia="Times New Roman" w:hAnsi="Times New Roman" w:cs="Times New Roman"/>
          <w:bCs/>
          <w:color w:val="000000" w:themeColor="text1"/>
          <w:sz w:val="24"/>
          <w:szCs w:val="24"/>
          <w:lang w:eastAsia="ar-SA"/>
        </w:rPr>
        <w:t>.</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1F740B77"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w:t>
      </w:r>
      <w:r w:rsidR="004D17F6">
        <w:rPr>
          <w:rFonts w:ascii="Times New Roman" w:hAnsi="Times New Roman" w:cs="Times New Roman"/>
          <w:b/>
          <w:color w:val="000000" w:themeColor="text1"/>
          <w:sz w:val="24"/>
          <w:szCs w:val="24"/>
        </w:rPr>
        <w:t xml:space="preserve"> </w:t>
      </w:r>
      <w:r w:rsidR="004D17F6" w:rsidRPr="004C37DD">
        <w:rPr>
          <w:rFonts w:ascii="Times New Roman" w:hAnsi="Times New Roman" w:cs="Times New Roman"/>
          <w:b/>
          <w:sz w:val="24"/>
          <w:szCs w:val="24"/>
        </w:rPr>
        <w:t>3.236.590,</w:t>
      </w:r>
      <w:r w:rsidR="004C37DD" w:rsidRPr="004C37DD">
        <w:rPr>
          <w:rFonts w:ascii="Times New Roman" w:hAnsi="Times New Roman" w:cs="Times New Roman"/>
          <w:b/>
          <w:sz w:val="24"/>
          <w:szCs w:val="24"/>
        </w:rPr>
        <w:t>40</w:t>
      </w:r>
      <w:r w:rsidRPr="004C37DD">
        <w:rPr>
          <w:rStyle w:val="hps"/>
          <w:rFonts w:ascii="Times New Roman" w:hAnsi="Times New Roman" w:cs="Times New Roman"/>
          <w:b/>
          <w:bCs/>
          <w:sz w:val="24"/>
          <w:szCs w:val="24"/>
          <w:lang w:eastAsia="ar-SA"/>
        </w:rPr>
        <w:t xml:space="preserve"> </w:t>
      </w:r>
      <w:r w:rsidRPr="00E24EE7">
        <w:rPr>
          <w:rStyle w:val="hps"/>
          <w:rFonts w:ascii="Times New Roman" w:hAnsi="Times New Roman" w:cs="Times New Roman"/>
          <w:b/>
          <w:bCs/>
          <w:color w:val="000000" w:themeColor="text1"/>
          <w:sz w:val="24"/>
          <w:szCs w:val="24"/>
          <w:lang w:eastAsia="ar-SA"/>
        </w:rPr>
        <w:t>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7FF4DBE5" w:rsidR="00881F51" w:rsidRPr="006E197C"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000000" w:themeColor="text1"/>
          <w:sz w:val="24"/>
          <w:szCs w:val="24"/>
          <w:lang w:eastAsia="ar-SA"/>
        </w:rPr>
      </w:pPr>
      <w:r w:rsidRPr="006E197C">
        <w:rPr>
          <w:rStyle w:val="hps"/>
          <w:rFonts w:ascii="Times New Roman" w:hAnsi="Times New Roman" w:cs="Times New Roman"/>
          <w:bCs/>
          <w:color w:val="000000" w:themeColor="text1"/>
          <w:sz w:val="24"/>
          <w:szCs w:val="24"/>
          <w:u w:val="single"/>
          <w:shd w:val="clear" w:color="auto" w:fill="FFFFFF" w:themeFill="background1"/>
          <w:lang w:eastAsia="ar-SA"/>
        </w:rPr>
        <w:t>O</w:t>
      </w:r>
      <w:r w:rsidRPr="006E197C">
        <w:rPr>
          <w:rStyle w:val="hps"/>
          <w:rFonts w:ascii="Times New Roman" w:hAnsi="Times New Roman" w:cs="Times New Roman"/>
          <w:bCs/>
          <w:color w:val="000000" w:themeColor="text1"/>
          <w:sz w:val="24"/>
          <w:szCs w:val="24"/>
          <w:u w:val="single"/>
          <w:lang w:eastAsia="ar-SA"/>
        </w:rPr>
        <w:t>pćine</w:t>
      </w:r>
      <w:r w:rsidRPr="006E197C">
        <w:rPr>
          <w:rStyle w:val="hps"/>
          <w:rFonts w:ascii="Times New Roman" w:hAnsi="Times New Roman" w:cs="Times New Roman"/>
          <w:bCs/>
          <w:color w:val="000000" w:themeColor="text1"/>
          <w:sz w:val="24"/>
          <w:szCs w:val="24"/>
          <w:lang w:eastAsia="ar-SA"/>
        </w:rPr>
        <w:t>:</w:t>
      </w:r>
      <w:r w:rsidR="009D4D6A" w:rsidRPr="006E197C">
        <w:rPr>
          <w:rStyle w:val="hps"/>
          <w:rFonts w:ascii="Times New Roman" w:hAnsi="Times New Roman" w:cs="Times New Roman"/>
          <w:bCs/>
          <w:color w:val="000000" w:themeColor="text1"/>
          <w:sz w:val="24"/>
          <w:szCs w:val="24"/>
          <w:lang w:eastAsia="ar-SA"/>
        </w:rPr>
        <w:t xml:space="preserve"> Čavle, Kostrena i Vinodolska općina</w:t>
      </w:r>
    </w:p>
    <w:p w14:paraId="0D26F6BC" w14:textId="7E973E15" w:rsidR="00B87294" w:rsidRPr="006E197C" w:rsidRDefault="00FB2409" w:rsidP="002A5905">
      <w:pPr>
        <w:pStyle w:val="Odlomakpopisa"/>
        <w:numPr>
          <w:ilvl w:val="0"/>
          <w:numId w:val="15"/>
        </w:numPr>
        <w:ind w:left="851" w:hanging="284"/>
        <w:contextualSpacing w:val="0"/>
        <w:jc w:val="both"/>
        <w:rPr>
          <w:rStyle w:val="hps"/>
          <w:rFonts w:ascii="Times New Roman" w:hAnsi="Times New Roman" w:cs="Times New Roman"/>
          <w:b/>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9504" behindDoc="1" locked="0" layoutInCell="1" allowOverlap="1" wp14:anchorId="0E1C6B5A" wp14:editId="21BB0269">
                <wp:simplePos x="0" y="0"/>
                <wp:positionH relativeFrom="margin">
                  <wp:posOffset>-35560</wp:posOffset>
                </wp:positionH>
                <wp:positionV relativeFrom="paragraph">
                  <wp:posOffset>330200</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10"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2.8pt;margin-top:26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" filled="f" strokeweight=".5pt">
                <v:textbo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11"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v:textbox>
                <w10:wrap type="topAndBottom" anchorx="margin"/>
              </v:shape>
            </w:pict>
          </mc:Fallback>
        </mc:AlternateContent>
      </w:r>
      <w:r w:rsidR="00881F51" w:rsidRPr="00E24EE7">
        <w:rPr>
          <w:rStyle w:val="hps"/>
          <w:rFonts w:ascii="Times New Roman" w:hAnsi="Times New Roman" w:cs="Times New Roman"/>
          <w:bCs/>
          <w:color w:val="000000" w:themeColor="text1"/>
          <w:sz w:val="24"/>
          <w:szCs w:val="24"/>
          <w:u w:val="single"/>
          <w:lang w:eastAsia="ar-SA"/>
        </w:rPr>
        <w:t>Gradovi</w:t>
      </w:r>
      <w:r w:rsidR="00881F51" w:rsidRPr="00E24EE7">
        <w:rPr>
          <w:rStyle w:val="hps"/>
          <w:rFonts w:ascii="Times New Roman" w:hAnsi="Times New Roman" w:cs="Times New Roman"/>
          <w:bCs/>
          <w:color w:val="000000" w:themeColor="text1"/>
          <w:sz w:val="24"/>
          <w:szCs w:val="24"/>
          <w:lang w:eastAsia="ar-SA"/>
        </w:rPr>
        <w:t xml:space="preserve">: </w:t>
      </w:r>
      <w:r w:rsidR="006E197C">
        <w:rPr>
          <w:rStyle w:val="hps"/>
          <w:rFonts w:ascii="Times New Roman" w:hAnsi="Times New Roman" w:cs="Times New Roman"/>
          <w:bCs/>
          <w:color w:val="000000" w:themeColor="text1"/>
          <w:sz w:val="24"/>
          <w:szCs w:val="24"/>
          <w:lang w:eastAsia="ar-SA"/>
        </w:rPr>
        <w:t>Bakar, Crikvenica, Kraljevica i Novi Vinodolski</w:t>
      </w:r>
    </w:p>
    <w:p w14:paraId="3E5544AC" w14:textId="14B854BB" w:rsidR="006E197C" w:rsidRPr="006E197C" w:rsidRDefault="006E197C" w:rsidP="006E197C">
      <w:pPr>
        <w:jc w:val="both"/>
        <w:rPr>
          <w:rStyle w:val="hps"/>
          <w:rFonts w:ascii="Times New Roman" w:hAnsi="Times New Roman" w:cs="Times New Roman"/>
          <w:b/>
          <w:color w:val="000000" w:themeColor="text1"/>
          <w:sz w:val="24"/>
          <w:szCs w:val="24"/>
        </w:rPr>
      </w:pP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1" w:name="_Toc472787056"/>
      <w:bookmarkStart w:id="12" w:name="_Toc472850741"/>
      <w:bookmarkStart w:id="13" w:name="_Toc472850781"/>
      <w:bookmarkStart w:id="14" w:name="_Toc472852913"/>
      <w:bookmarkStart w:id="15" w:name="_Toc120174273"/>
      <w:r w:rsidRPr="00E24EE7">
        <w:rPr>
          <w:rFonts w:ascii="Times New Roman" w:eastAsia="Times New Roman" w:hAnsi="Times New Roman" w:cs="Times New Roman"/>
          <w:b/>
          <w:color w:val="000000" w:themeColor="text1"/>
          <w:sz w:val="24"/>
          <w:szCs w:val="24"/>
        </w:rPr>
        <w:t>Pojmovi i kratice</w:t>
      </w:r>
      <w:bookmarkEnd w:id="11"/>
      <w:bookmarkEnd w:id="12"/>
      <w:bookmarkEnd w:id="13"/>
      <w:bookmarkEnd w:id="14"/>
      <w:bookmarkEnd w:id="15"/>
    </w:p>
    <w:p w14:paraId="47FD38E9" w14:textId="168760D3"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b/>
          <w:i/>
          <w:iCs/>
          <w:color w:val="000000" w:themeColor="text1"/>
          <w:sz w:val="24"/>
          <w:szCs w:val="24"/>
          <w:lang w:eastAsia="hr-HR"/>
        </w:rPr>
        <w:t>Nositelj projekta</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w:t>
      </w:r>
      <w:r w:rsidR="00FB2409">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LAG</w:t>
      </w:r>
      <w:r w:rsidR="00FB2409">
        <w:rPr>
          <w:rFonts w:ascii="Times New Roman" w:eastAsia="Times New Roman" w:hAnsi="Times New Roman" w:cs="Times New Roman"/>
          <w:iCs/>
          <w:color w:val="000000" w:themeColor="text1"/>
          <w:sz w:val="24"/>
          <w:szCs w:val="24"/>
          <w:lang w:eastAsia="hr-HR"/>
        </w:rPr>
        <w:t xml:space="preserve"> „VINODOL“</w:t>
      </w:r>
    </w:p>
    <w:p w14:paraId="587D28FF" w14:textId="1ADBB420"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određenom tipu operacije</w:t>
      </w:r>
    </w:p>
    <w:p w14:paraId="62BEA089" w14:textId="1E582859" w:rsidR="00120EE3" w:rsidRPr="00FB2409" w:rsidRDefault="00241CAC" w:rsidP="00414588">
      <w:pPr>
        <w:spacing w:after="120"/>
        <w:jc w:val="both"/>
        <w:rPr>
          <w:rFonts w:ascii="Times New Roman" w:eastAsia="Times New Roman" w:hAnsi="Times New Roman" w:cs="Times New Roman"/>
          <w:color w:val="000000"/>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620214">
        <w:rPr>
          <w:rFonts w:ascii="Times New Roman" w:eastAsia="Times New Roman" w:hAnsi="Times New Roman" w:cs="Times New Roman"/>
          <w:b/>
          <w:bCs/>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r w:rsidR="00FB2409">
        <w:rPr>
          <w:rFonts w:ascii="Times New Roman" w:eastAsia="Times New Roman" w:hAnsi="Times New Roman" w:cs="Times New Roman"/>
          <w:color w:val="000000" w:themeColor="text1"/>
          <w:sz w:val="24"/>
          <w:szCs w:val="24"/>
          <w:lang w:eastAsia="hr-HR"/>
        </w:rPr>
        <w:t xml:space="preserve"> </w:t>
      </w:r>
      <w:r w:rsidR="00FB2409">
        <w:rPr>
          <w:rFonts w:ascii="Times New Roman" w:eastAsia="Times New Roman" w:hAnsi="Times New Roman" w:cs="Times New Roman"/>
          <w:color w:val="000000"/>
          <w:sz w:val="24"/>
          <w:szCs w:val="24"/>
          <w:lang w:eastAsia="hr-HR"/>
        </w:rPr>
        <w:t xml:space="preserve">(Zakon o gradnji, NN 153/13, 20/17, </w:t>
      </w:r>
      <w:r w:rsidR="00FB2409" w:rsidRPr="007F3330">
        <w:rPr>
          <w:rFonts w:ascii="Times New Roman" w:eastAsia="Times New Roman" w:hAnsi="Times New Roman" w:cs="Times New Roman"/>
          <w:sz w:val="24"/>
          <w:szCs w:val="24"/>
          <w:lang w:eastAsia="hr-HR"/>
        </w:rPr>
        <w:t>39/19 i 125/19)</w:t>
      </w:r>
    </w:p>
    <w:p w14:paraId="5E87277D" w14:textId="3710ACA2"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w:t>
      </w:r>
      <w:r w:rsidR="00FB2409">
        <w:rPr>
          <w:rFonts w:ascii="Times New Roman" w:eastAsia="Times New Roman" w:hAnsi="Times New Roman" w:cs="Times New Roman"/>
          <w:iCs/>
          <w:color w:val="000000" w:themeColor="text1"/>
          <w:sz w:val="24"/>
          <w:szCs w:val="24"/>
          <w:lang w:eastAsia="hr-HR"/>
        </w:rPr>
        <w:t xml:space="preserve"> </w:t>
      </w:r>
      <w:r w:rsidR="002A3513" w:rsidRPr="00E24EE7">
        <w:rPr>
          <w:rFonts w:ascii="Times New Roman" w:eastAsia="Times New Roman" w:hAnsi="Times New Roman" w:cs="Times New Roman"/>
          <w:iCs/>
          <w:color w:val="000000" w:themeColor="text1"/>
          <w:sz w:val="24"/>
          <w:szCs w:val="24"/>
          <w:lang w:eastAsia="hr-HR"/>
        </w:rPr>
        <w:t>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1C047F08"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mjere/podmjere/</w:t>
      </w:r>
      <w:r w:rsidRPr="00E24EE7">
        <w:rPr>
          <w:rFonts w:ascii="Times New Roman" w:eastAsia="Times New Roman" w:hAnsi="Times New Roman" w:cs="Times New Roman"/>
          <w:iCs/>
          <w:color w:val="000000" w:themeColor="text1"/>
          <w:sz w:val="24"/>
          <w:szCs w:val="24"/>
          <w:lang w:eastAsia="hr-HR"/>
        </w:rPr>
        <w:t>tipa operacije, a objavlj</w:t>
      </w:r>
      <w:r w:rsidR="004C5955">
        <w:rPr>
          <w:rFonts w:ascii="Times New Roman" w:eastAsia="Times New Roman" w:hAnsi="Times New Roman" w:cs="Times New Roman"/>
          <w:iCs/>
          <w:color w:val="000000" w:themeColor="text1"/>
          <w:sz w:val="24"/>
          <w:szCs w:val="24"/>
          <w:lang w:eastAsia="hr-HR"/>
        </w:rPr>
        <w:t xml:space="preserve">ena je uz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620214">
        <w:rPr>
          <w:rFonts w:ascii="Times New Roman" w:eastAsia="Times New Roman" w:hAnsi="Times New Roman" w:cs="Times New Roman"/>
          <w:b/>
          <w:bCs/>
          <w:i/>
          <w:iCs/>
          <w:color w:val="000000" w:themeColor="text1"/>
          <w:sz w:val="24"/>
          <w:szCs w:val="24"/>
          <w:lang w:eastAsia="hr-HR"/>
        </w:rPr>
        <w:t>t</w:t>
      </w: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44143724"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mjeru/podmjeru/tip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6" w:name="_Toc472787059"/>
      <w:bookmarkStart w:id="17" w:name="_Toc472850744"/>
      <w:bookmarkStart w:id="18" w:name="_Toc472850784"/>
      <w:bookmarkStart w:id="19" w:name="_Toc472852916"/>
      <w:bookmarkStart w:id="20" w:name="_Toc120174274"/>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6"/>
      <w:bookmarkEnd w:id="17"/>
      <w:bookmarkEnd w:id="18"/>
      <w:bookmarkEnd w:id="19"/>
      <w:bookmarkEnd w:id="20"/>
    </w:p>
    <w:p w14:paraId="0CD26D75" w14:textId="0346FCDD" w:rsidR="0049662D"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3861DF"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jniž</w:t>
      </w:r>
      <w:r w:rsidR="00D12A9B">
        <w:rPr>
          <w:rFonts w:ascii="Times New Roman" w:hAnsi="Times New Roman" w:cs="Times New Roman"/>
          <w:color w:val="000000" w:themeColor="text1"/>
          <w:sz w:val="24"/>
          <w:szCs w:val="24"/>
        </w:rPr>
        <w:t xml:space="preserve">i iznos javne </w:t>
      </w:r>
      <w:r w:rsidRPr="00E24EE7">
        <w:rPr>
          <w:rFonts w:ascii="Times New Roman" w:hAnsi="Times New Roman" w:cs="Times New Roman"/>
          <w:color w:val="000000" w:themeColor="text1"/>
          <w:sz w:val="24"/>
          <w:szCs w:val="24"/>
        </w:rPr>
        <w:t>potpore iznosi 15.000 EUR</w:t>
      </w:r>
      <w:r w:rsidR="00211CA5">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002BDE1E" w:rsidR="00766F07"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Najviša ukupna</w:t>
      </w:r>
      <w:r w:rsidR="004048CF" w:rsidRPr="00E24EE7">
        <w:rPr>
          <w:rFonts w:ascii="Times New Roman" w:hAnsi="Times New Roman" w:cs="Times New Roman"/>
          <w:color w:val="000000" w:themeColor="text1"/>
          <w:sz w:val="24"/>
          <w:szCs w:val="24"/>
        </w:rPr>
        <w:t xml:space="preserve"> vrijednost projekta </w:t>
      </w:r>
      <w:r w:rsidR="00766F07" w:rsidRPr="00E24EE7">
        <w:rPr>
          <w:rFonts w:ascii="Times New Roman" w:hAnsi="Times New Roman" w:cs="Times New Roman"/>
          <w:color w:val="000000" w:themeColor="text1"/>
          <w:sz w:val="24"/>
          <w:szCs w:val="24"/>
        </w:rPr>
        <w:t xml:space="preserve">iznosi </w:t>
      </w:r>
      <w:r w:rsidR="0049662D" w:rsidRPr="00E24EE7">
        <w:rPr>
          <w:rFonts w:ascii="Times New Roman" w:hAnsi="Times New Roman" w:cs="Times New Roman"/>
          <w:color w:val="000000" w:themeColor="text1"/>
          <w:sz w:val="24"/>
          <w:szCs w:val="24"/>
        </w:rPr>
        <w:t>250</w:t>
      </w:r>
      <w:r w:rsidR="00766F07" w:rsidRPr="00E24EE7">
        <w:rPr>
          <w:rFonts w:ascii="Times New Roman" w:hAnsi="Times New Roman" w:cs="Times New Roman"/>
          <w:color w:val="000000" w:themeColor="text1"/>
          <w:sz w:val="24"/>
          <w:szCs w:val="24"/>
        </w:rPr>
        <w:t>.000</w:t>
      </w:r>
      <w:r w:rsidR="000B6BCD" w:rsidRPr="00E24EE7">
        <w:rPr>
          <w:rFonts w:ascii="Times New Roman" w:hAnsi="Times New Roman" w:cs="Times New Roman"/>
          <w:color w:val="000000" w:themeColor="text1"/>
          <w:sz w:val="24"/>
          <w:szCs w:val="24"/>
        </w:rPr>
        <w:t xml:space="preserve"> EUR</w:t>
      </w:r>
      <w:r w:rsidR="0049662D" w:rsidRPr="00E24EE7">
        <w:rPr>
          <w:rFonts w:ascii="Times New Roman" w:hAnsi="Times New Roman" w:cs="Times New Roman"/>
          <w:color w:val="000000" w:themeColor="text1"/>
          <w:sz w:val="24"/>
          <w:szCs w:val="24"/>
        </w:rPr>
        <w:t xml:space="preserve"> (s PDV-om)</w:t>
      </w:r>
      <w:r w:rsidR="00BF6AC2">
        <w:rPr>
          <w:rFonts w:ascii="Times New Roman" w:hAnsi="Times New Roman" w:cs="Times New Roman"/>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0A9C7E69" w:rsidR="0049662D" w:rsidRPr="00E24EE7" w:rsidRDefault="0049662D"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Najviši iznos javne potpore po projektu iznosi </w:t>
      </w:r>
      <w:r w:rsidR="004C37DD">
        <w:rPr>
          <w:rFonts w:ascii="Times New Roman" w:hAnsi="Times New Roman" w:cs="Times New Roman"/>
          <w:color w:val="000000" w:themeColor="text1"/>
          <w:sz w:val="24"/>
          <w:szCs w:val="24"/>
        </w:rPr>
        <w:t>61</w:t>
      </w:r>
      <w:r w:rsidRPr="004C37DD">
        <w:rPr>
          <w:rFonts w:ascii="Times New Roman" w:hAnsi="Times New Roman" w:cs="Times New Roman"/>
          <w:color w:val="000000" w:themeColor="text1"/>
          <w:sz w:val="24"/>
          <w:szCs w:val="24"/>
        </w:rPr>
        <w:t>.</w:t>
      </w:r>
      <w:r w:rsidR="004C37DD">
        <w:rPr>
          <w:rFonts w:ascii="Times New Roman" w:hAnsi="Times New Roman" w:cs="Times New Roman"/>
          <w:color w:val="000000" w:themeColor="text1"/>
          <w:sz w:val="24"/>
          <w:szCs w:val="24"/>
        </w:rPr>
        <w:t>5</w:t>
      </w:r>
      <w:r w:rsidRPr="004C37DD">
        <w:rPr>
          <w:rFonts w:ascii="Times New Roman" w:hAnsi="Times New Roman" w:cs="Times New Roman"/>
          <w:color w:val="000000" w:themeColor="text1"/>
          <w:sz w:val="24"/>
          <w:szCs w:val="24"/>
        </w:rPr>
        <w:t>00 EUR</w:t>
      </w:r>
      <w:r w:rsidR="004C37DD">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7B52A2EF"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12" w:history="1">
        <w:r w:rsidR="00CC5D89" w:rsidRPr="00BF6AC2">
          <w:rPr>
            <w:rStyle w:val="Hiperveza"/>
            <w:rFonts w:ascii="Times New Roman" w:hAnsi="Times New Roman" w:cs="Times New Roman"/>
            <w:color w:val="0070C0"/>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25731920" w:rsidR="001D3244" w:rsidRPr="00E24EE7"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E24EE7"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03AB4135"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 xml:space="preserve">za </w:t>
      </w:r>
      <w:r w:rsidR="001833AE">
        <w:rPr>
          <w:rFonts w:ascii="Times New Roman" w:hAnsi="Times New Roman" w:cs="Times New Roman"/>
          <w:color w:val="000000" w:themeColor="text1"/>
          <w:sz w:val="24"/>
          <w:szCs w:val="24"/>
        </w:rPr>
        <w:t xml:space="preserve">Mjeru 3.1.1. „Pokretanje, poboljšanje ili proširenje lokalnih temeljnih usluga za ruralno stanovništvo“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61AB76AC"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98174A">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 xml:space="preserve">(Bakar, </w:t>
      </w:r>
      <w:r w:rsidR="001833AE">
        <w:rPr>
          <w:rFonts w:ascii="Times New Roman" w:hAnsi="Times New Roman" w:cs="Times New Roman"/>
          <w:bCs/>
          <w:color w:val="000000" w:themeColor="text1"/>
          <w:sz w:val="24"/>
          <w:szCs w:val="24"/>
        </w:rPr>
        <w:t>Crikvenica, Kostrena, Novi Vinodolski, Čavle i Kraljevica)</w:t>
      </w:r>
    </w:p>
    <w:p w14:paraId="045C36A6" w14:textId="00AF0DD4" w:rsidR="00490E55" w:rsidRPr="001833AE" w:rsidRDefault="00BF5BDE" w:rsidP="001833AE">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(Vinodolska općina)</w:t>
      </w:r>
    </w:p>
    <w:p w14:paraId="0AF6B969" w14:textId="77777777" w:rsidR="001833AE" w:rsidRDefault="001833AE" w:rsidP="003051B7">
      <w:pPr>
        <w:shd w:val="clear" w:color="auto" w:fill="FFFFFF" w:themeFill="background1"/>
        <w:jc w:val="both"/>
        <w:rPr>
          <w:rFonts w:ascii="Times New Roman" w:hAnsi="Times New Roman" w:cs="Times New Roman"/>
          <w:color w:val="000000" w:themeColor="text1"/>
          <w:sz w:val="24"/>
          <w:szCs w:val="24"/>
        </w:rPr>
      </w:pPr>
    </w:p>
    <w:p w14:paraId="4D5D44ED" w14:textId="56B22307"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7777777"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1" w:name="_Toc505958381"/>
      <w:bookmarkStart w:id="22" w:name="_Toc120174275"/>
      <w:r w:rsidRPr="00E24EE7">
        <w:rPr>
          <w:rFonts w:ascii="Times New Roman" w:hAnsi="Times New Roman" w:cs="Times New Roman"/>
          <w:b/>
          <w:color w:val="000000" w:themeColor="text1"/>
          <w:sz w:val="24"/>
          <w:szCs w:val="24"/>
        </w:rPr>
        <w:lastRenderedPageBreak/>
        <w:t>ZAHTJEVI ZA NOSITELJA PROJEKTA</w:t>
      </w:r>
      <w:bookmarkEnd w:id="21"/>
      <w:bookmarkEnd w:id="22"/>
      <w:r w:rsidRPr="00E24EE7">
        <w:rPr>
          <w:rFonts w:ascii="Times New Roman" w:hAnsi="Times New Roman" w:cs="Times New Roman"/>
          <w:b/>
          <w:color w:val="000000" w:themeColor="text1"/>
          <w:sz w:val="24"/>
          <w:szCs w:val="24"/>
        </w:rPr>
        <w:t xml:space="preserve"> </w:t>
      </w:r>
    </w:p>
    <w:p w14:paraId="1C7102C1" w14:textId="77777777"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3" w:name="_Toc371521559"/>
      <w:bookmarkStart w:id="24" w:name="_Toc450901554"/>
      <w:bookmarkStart w:id="25" w:name="_Toc505958382"/>
      <w:bookmarkStart w:id="26" w:name="_Toc120174276"/>
      <w:bookmarkEnd w:id="23"/>
      <w:r w:rsidRPr="00E24EE7">
        <w:rPr>
          <w:rFonts w:ascii="Times New Roman" w:hAnsi="Times New Roman" w:cs="Times New Roman"/>
          <w:b/>
          <w:color w:val="000000" w:themeColor="text1"/>
          <w:sz w:val="24"/>
          <w:szCs w:val="24"/>
        </w:rPr>
        <w:t>Prihvatljivost nositelja projekta (Tko može sudjelovati?)</w:t>
      </w:r>
      <w:bookmarkEnd w:id="24"/>
      <w:bookmarkEnd w:id="25"/>
      <w:bookmarkEnd w:id="26"/>
    </w:p>
    <w:p w14:paraId="6A1BEFFD" w14:textId="61732D93"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n</w:t>
      </w:r>
      <w:r w:rsidR="00855C19" w:rsidRPr="00E24EE7">
        <w:rPr>
          <w:rFonts w:ascii="Times New Roman" w:hAnsi="Times New Roman" w:cs="Times New Roman"/>
          <w:color w:val="000000" w:themeColor="text1"/>
          <w:sz w:val="24"/>
          <w:szCs w:val="24"/>
        </w:rPr>
        <w:t xml:space="preserve">ositelj projekta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48E12462" w14:textId="6AE6328A" w:rsidR="00723C5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AC131F" w:rsidRPr="00E24EE7">
        <w:rPr>
          <w:rFonts w:ascii="Times New Roman" w:hAnsi="Times New Roman" w:cs="Times New Roman"/>
          <w:color w:val="000000" w:themeColor="text1"/>
          <w:sz w:val="24"/>
          <w:szCs w:val="24"/>
        </w:rPr>
        <w:t xml:space="preserve">edinica lokalne samouprave </w:t>
      </w:r>
    </w:p>
    <w:p w14:paraId="472A3775" w14:textId="4973F2F3"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w:t>
      </w:r>
      <w:r w:rsidR="00A57C24" w:rsidRPr="00E24EE7">
        <w:rPr>
          <w:rFonts w:ascii="Times New Roman" w:hAnsi="Times New Roman" w:cs="Times New Roman"/>
          <w:color w:val="000000" w:themeColor="text1"/>
          <w:sz w:val="24"/>
          <w:szCs w:val="24"/>
        </w:rPr>
        <w:t>rgovačko društvo</w:t>
      </w:r>
      <w:r w:rsidR="00AC131F" w:rsidRPr="00E24EE7">
        <w:rPr>
          <w:rFonts w:ascii="Times New Roman" w:hAnsi="Times New Roman" w:cs="Times New Roman"/>
          <w:color w:val="000000" w:themeColor="text1"/>
          <w:sz w:val="24"/>
          <w:szCs w:val="24"/>
        </w:rPr>
        <w:t xml:space="preserve"> u većinskom vlasništvu jedinica lokalne samouprave </w:t>
      </w:r>
    </w:p>
    <w:p w14:paraId="097A9D14" w14:textId="733259AF" w:rsidR="00AC131F" w:rsidRPr="00E24EE7"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w:t>
      </w:r>
      <w:r w:rsidR="0063317A"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u</w:t>
      </w:r>
      <w:r w:rsidRPr="00E24EE7">
        <w:rPr>
          <w:rFonts w:ascii="Times New Roman" w:hAnsi="Times New Roman" w:cs="Times New Roman"/>
          <w:color w:val="000000" w:themeColor="text1"/>
          <w:sz w:val="24"/>
          <w:szCs w:val="24"/>
        </w:rPr>
        <w:t>stanova neprofitnog karaktera u kojoj</w:t>
      </w:r>
      <w:r w:rsidR="00AC131F" w:rsidRPr="00E24EE7">
        <w:rPr>
          <w:rFonts w:ascii="Times New Roman" w:hAnsi="Times New Roman" w:cs="Times New Roman"/>
          <w:color w:val="000000" w:themeColor="text1"/>
          <w:sz w:val="24"/>
          <w:szCs w:val="24"/>
        </w:rPr>
        <w:t xml:space="preserve"> su osnivači jedinice lokalne samouprave </w:t>
      </w:r>
      <w:r w:rsidR="0063317A" w:rsidRPr="00E24EE7">
        <w:rPr>
          <w:rFonts w:ascii="Times New Roman" w:hAnsi="Times New Roman" w:cs="Times New Roman"/>
          <w:color w:val="000000" w:themeColor="text1"/>
          <w:sz w:val="24"/>
          <w:szCs w:val="24"/>
        </w:rPr>
        <w:t>osim javnih vatrogasnih postrojbi, lokalnih i regionalnih razvojnih agencija, škola</w:t>
      </w:r>
    </w:p>
    <w:p w14:paraId="6504965A" w14:textId="2EE5F431"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w:t>
      </w:r>
      <w:r w:rsidR="00A57C24" w:rsidRPr="00E24EE7">
        <w:rPr>
          <w:rFonts w:ascii="Times New Roman" w:hAnsi="Times New Roman" w:cs="Times New Roman"/>
          <w:color w:val="000000" w:themeColor="text1"/>
          <w:sz w:val="24"/>
          <w:szCs w:val="24"/>
        </w:rPr>
        <w:t>druga koja</w:t>
      </w:r>
      <w:r w:rsidR="006272C8" w:rsidRPr="00E24EE7">
        <w:rPr>
          <w:rFonts w:ascii="Times New Roman" w:hAnsi="Times New Roman" w:cs="Times New Roman"/>
          <w:color w:val="000000" w:themeColor="text1"/>
          <w:sz w:val="24"/>
          <w:szCs w:val="24"/>
        </w:rPr>
        <w:t xml:space="preserve"> se bavi</w:t>
      </w:r>
      <w:r w:rsidR="00AC131F" w:rsidRPr="00E24EE7">
        <w:rPr>
          <w:rFonts w:ascii="Times New Roman" w:hAnsi="Times New Roman" w:cs="Times New Roman"/>
          <w:color w:val="000000" w:themeColor="text1"/>
          <w:sz w:val="24"/>
          <w:szCs w:val="24"/>
        </w:rPr>
        <w:t xml:space="preserve"> humanitarnim i društvenim djelatnostima od posebnog interesa za lokalno stanovništvo i či</w:t>
      </w:r>
      <w:r w:rsidR="00F22822" w:rsidRPr="00E24EE7">
        <w:rPr>
          <w:rFonts w:ascii="Times New Roman" w:hAnsi="Times New Roman" w:cs="Times New Roman"/>
          <w:color w:val="000000" w:themeColor="text1"/>
          <w:sz w:val="24"/>
          <w:szCs w:val="24"/>
        </w:rPr>
        <w:t>je su djelatnosti u skladu s ci</w:t>
      </w:r>
      <w:r w:rsidR="00AC131F" w:rsidRPr="00E24EE7">
        <w:rPr>
          <w:rFonts w:ascii="Times New Roman" w:hAnsi="Times New Roman" w:cs="Times New Roman"/>
          <w:color w:val="000000" w:themeColor="text1"/>
          <w:sz w:val="24"/>
          <w:szCs w:val="24"/>
        </w:rPr>
        <w:t>ljnim skupinama i klasifikacijom djelatnosti udruga, pov</w:t>
      </w:r>
      <w:r w:rsidR="006272C8" w:rsidRPr="00E24EE7">
        <w:rPr>
          <w:rFonts w:ascii="Times New Roman" w:hAnsi="Times New Roman" w:cs="Times New Roman"/>
          <w:color w:val="000000" w:themeColor="text1"/>
          <w:sz w:val="24"/>
          <w:szCs w:val="24"/>
        </w:rPr>
        <w:t>ezana</w:t>
      </w:r>
      <w:r w:rsidR="00AC131F" w:rsidRPr="00E24EE7">
        <w:rPr>
          <w:rFonts w:ascii="Times New Roman" w:hAnsi="Times New Roman" w:cs="Times New Roman"/>
          <w:color w:val="000000" w:themeColor="text1"/>
          <w:sz w:val="24"/>
          <w:szCs w:val="24"/>
        </w:rPr>
        <w:t xml:space="preserve"> s prihvatljivim ulaganjem (isključujući lokalne akcijske </w:t>
      </w:r>
      <w:r w:rsidR="00F22822" w:rsidRPr="00E24EE7">
        <w:rPr>
          <w:rFonts w:ascii="Times New Roman" w:hAnsi="Times New Roman" w:cs="Times New Roman"/>
          <w:color w:val="000000" w:themeColor="text1"/>
          <w:sz w:val="24"/>
          <w:szCs w:val="24"/>
        </w:rPr>
        <w:t>grup</w:t>
      </w:r>
      <w:r w:rsidR="0063317A" w:rsidRPr="00E24EE7">
        <w:rPr>
          <w:rFonts w:ascii="Times New Roman" w:hAnsi="Times New Roman" w:cs="Times New Roman"/>
          <w:color w:val="000000" w:themeColor="text1"/>
          <w:sz w:val="24"/>
          <w:szCs w:val="24"/>
        </w:rPr>
        <w:t>e, zajednice udruga, zaklade, fu</w:t>
      </w:r>
      <w:r w:rsidR="00F22822" w:rsidRPr="00E24EE7">
        <w:rPr>
          <w:rFonts w:ascii="Times New Roman" w:hAnsi="Times New Roman" w:cs="Times New Roman"/>
          <w:color w:val="000000" w:themeColor="text1"/>
          <w:sz w:val="24"/>
          <w:szCs w:val="24"/>
        </w:rPr>
        <w:t xml:space="preserve">ndacije) </w:t>
      </w:r>
    </w:p>
    <w:p w14:paraId="366E2E6C" w14:textId="02924E1D" w:rsidR="00EF042B" w:rsidRPr="00694F21" w:rsidRDefault="00766F07" w:rsidP="002777F8">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694F21">
        <w:rPr>
          <w:rFonts w:ascii="Times New Roman" w:hAnsi="Times New Roman" w:cs="Times New Roman"/>
          <w:color w:val="000000" w:themeColor="text1"/>
          <w:sz w:val="24"/>
          <w:szCs w:val="24"/>
        </w:rPr>
        <w:t>v</w:t>
      </w:r>
      <w:r w:rsidR="00A57C24" w:rsidRPr="00694F21">
        <w:rPr>
          <w:rFonts w:ascii="Times New Roman" w:hAnsi="Times New Roman" w:cs="Times New Roman"/>
          <w:color w:val="000000" w:themeColor="text1"/>
          <w:sz w:val="24"/>
          <w:szCs w:val="24"/>
        </w:rPr>
        <w:t>jerska zajednica koja ima</w:t>
      </w:r>
      <w:r w:rsidR="00F22822" w:rsidRPr="00694F21">
        <w:rPr>
          <w:rFonts w:ascii="Times New Roman" w:hAnsi="Times New Roman" w:cs="Times New Roman"/>
          <w:color w:val="000000" w:themeColor="text1"/>
          <w:sz w:val="24"/>
          <w:szCs w:val="24"/>
        </w:rPr>
        <w:t xml:space="preserve"> organizacijsk</w:t>
      </w:r>
      <w:r w:rsidR="00A57C24" w:rsidRPr="00694F21">
        <w:rPr>
          <w:rFonts w:ascii="Times New Roman" w:hAnsi="Times New Roman" w:cs="Times New Roman"/>
          <w:color w:val="000000" w:themeColor="text1"/>
          <w:sz w:val="24"/>
          <w:szCs w:val="24"/>
        </w:rPr>
        <w:t xml:space="preserve">i oblik na lokalnom nivou i koja se bavi </w:t>
      </w:r>
      <w:r w:rsidR="00F22822" w:rsidRPr="00694F21">
        <w:rPr>
          <w:rFonts w:ascii="Times New Roman" w:hAnsi="Times New Roman" w:cs="Times New Roman"/>
          <w:color w:val="000000" w:themeColor="text1"/>
          <w:sz w:val="24"/>
          <w:szCs w:val="24"/>
        </w:rPr>
        <w:t>humanitarnim i društvenim djelatnostima od posebnog interesa za lokalno stanovništvo</w:t>
      </w:r>
      <w:r w:rsidR="00694F21" w:rsidRPr="00694F21">
        <w:rPr>
          <w:rFonts w:ascii="Times New Roman" w:hAnsi="Times New Roman" w:cs="Times New Roman"/>
          <w:color w:val="000000" w:themeColor="text1"/>
          <w:sz w:val="24"/>
          <w:szCs w:val="24"/>
        </w:rPr>
        <w:t>.</w:t>
      </w:r>
      <w:r w:rsidR="00EF042B" w:rsidRPr="00694F21">
        <w:rPr>
          <w:rFonts w:ascii="Times New Roman" w:hAnsi="Times New Roman" w:cs="Times New Roman"/>
          <w:color w:val="000000" w:themeColor="text1"/>
          <w:sz w:val="24"/>
          <w:szCs w:val="24"/>
        </w:rPr>
        <w:t xml:space="preserve"> </w:t>
      </w:r>
    </w:p>
    <w:p w14:paraId="465DF577" w14:textId="77777777" w:rsidR="00E11395" w:rsidRPr="00E24EE7" w:rsidRDefault="00E11395" w:rsidP="00E11395">
      <w:pPr>
        <w:shd w:val="clear" w:color="auto" w:fill="FFFFFF" w:themeFill="background1"/>
        <w:jc w:val="both"/>
        <w:rPr>
          <w:rFonts w:ascii="Times New Roman" w:hAnsi="Times New Roman" w:cs="Times New Roman"/>
          <w:color w:val="000000" w:themeColor="text1"/>
          <w:sz w:val="24"/>
          <w:szCs w:val="24"/>
        </w:rPr>
      </w:pPr>
    </w:p>
    <w:p w14:paraId="0AD2EBB7" w14:textId="3C15CF8B"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7" w:name="_Toc450901556"/>
      <w:bookmarkStart w:id="28" w:name="_Toc505958383"/>
      <w:bookmarkStart w:id="29" w:name="_Toc120174277"/>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7"/>
      <w:r w:rsidRPr="00E24EE7">
        <w:rPr>
          <w:rFonts w:ascii="Times New Roman" w:hAnsi="Times New Roman" w:cs="Times New Roman"/>
          <w:b/>
          <w:color w:val="000000" w:themeColor="text1"/>
          <w:sz w:val="24"/>
          <w:szCs w:val="24"/>
        </w:rPr>
        <w:t>po nositelju projekta</w:t>
      </w:r>
      <w:bookmarkEnd w:id="28"/>
      <w:bookmarkEnd w:id="29"/>
    </w:p>
    <w:p w14:paraId="2F47E037" w14:textId="55057985" w:rsidR="0063493E" w:rsidRPr="00E24EE7" w:rsidRDefault="00E1139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lang w:eastAsia="hr-HR"/>
        </w:rPr>
        <w:t xml:space="preserve">Nositelju projekta za </w:t>
      </w:r>
      <w:r w:rsidR="00BD7DCF">
        <w:rPr>
          <w:rFonts w:ascii="Times New Roman" w:eastAsia="Times New Roman" w:hAnsi="Times New Roman" w:cs="Times New Roman"/>
          <w:color w:val="000000" w:themeColor="text1"/>
          <w:sz w:val="24"/>
          <w:szCs w:val="24"/>
          <w:lang w:eastAsia="hr-HR"/>
        </w:rPr>
        <w:t xml:space="preserve">Mjeru 3.1.1. „Pokretanje, poboljšanje ili proširenje lokalnih temeljnih usluga za ruralno stanovništvo“ </w:t>
      </w:r>
      <w:r w:rsidR="00497DB0" w:rsidRPr="00E24EE7">
        <w:rPr>
          <w:rFonts w:ascii="Times New Roman" w:eastAsia="Times New Roman" w:hAnsi="Times New Roman" w:cs="Times New Roman"/>
          <w:color w:val="000000" w:themeColor="text1"/>
          <w:sz w:val="24"/>
          <w:szCs w:val="24"/>
          <w:lang w:eastAsia="hr-HR"/>
        </w:rPr>
        <w:t>ko</w:t>
      </w:r>
      <w:r w:rsidR="00681541" w:rsidRPr="00E24EE7">
        <w:rPr>
          <w:rFonts w:ascii="Times New Roman" w:eastAsia="Times New Roman" w:hAnsi="Times New Roman" w:cs="Times New Roman"/>
          <w:color w:val="000000" w:themeColor="text1"/>
          <w:sz w:val="24"/>
          <w:szCs w:val="24"/>
          <w:lang w:eastAsia="hr-HR"/>
        </w:rPr>
        <w:t>j</w:t>
      </w:r>
      <w:r w:rsidR="00BD7DCF">
        <w:rPr>
          <w:rFonts w:ascii="Times New Roman" w:eastAsia="Times New Roman" w:hAnsi="Times New Roman" w:cs="Times New Roman"/>
          <w:color w:val="000000" w:themeColor="text1"/>
          <w:sz w:val="24"/>
          <w:szCs w:val="24"/>
          <w:lang w:eastAsia="hr-HR"/>
        </w:rPr>
        <w:t>a</w:t>
      </w:r>
      <w:r w:rsidR="00681541" w:rsidRPr="00E24EE7">
        <w:rPr>
          <w:rFonts w:ascii="Times New Roman" w:eastAsia="Times New Roman" w:hAnsi="Times New Roman" w:cs="Times New Roman"/>
          <w:color w:val="000000" w:themeColor="text1"/>
          <w:sz w:val="24"/>
          <w:szCs w:val="24"/>
          <w:lang w:eastAsia="hr-HR"/>
        </w:rPr>
        <w:t xml:space="preserve"> je suklad</w:t>
      </w:r>
      <w:r w:rsidR="00BD7DCF">
        <w:rPr>
          <w:rFonts w:ascii="Times New Roman" w:eastAsia="Times New Roman" w:hAnsi="Times New Roman" w:cs="Times New Roman"/>
          <w:color w:val="000000" w:themeColor="text1"/>
          <w:sz w:val="24"/>
          <w:szCs w:val="24"/>
          <w:lang w:eastAsia="hr-HR"/>
        </w:rPr>
        <w:t>na</w:t>
      </w:r>
      <w:r w:rsidR="00681541" w:rsidRPr="00E24EE7">
        <w:rPr>
          <w:rFonts w:ascii="Times New Roman" w:eastAsia="Times New Roman" w:hAnsi="Times New Roman" w:cs="Times New Roman"/>
          <w:color w:val="000000" w:themeColor="text1"/>
          <w:sz w:val="24"/>
          <w:szCs w:val="24"/>
          <w:lang w:eastAsia="hr-HR"/>
        </w:rPr>
        <w:t xml:space="preserve">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7855FAEA"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nositelj proje</w:t>
      </w:r>
      <w:r w:rsidR="00C52B8A" w:rsidRPr="00E24EE7">
        <w:rPr>
          <w:rFonts w:ascii="Times New Roman" w:eastAsia="Times New Roman" w:hAnsi="Times New Roman" w:cs="Times New Roman"/>
          <w:color w:val="000000" w:themeColor="text1"/>
          <w:sz w:val="24"/>
          <w:szCs w:val="24"/>
          <w:lang w:eastAsia="hr-HR"/>
        </w:rPr>
        <w:t xml:space="preserve">kta može podnijeti </w:t>
      </w:r>
      <w:r w:rsidR="00C52B8A" w:rsidRPr="00E41DA3">
        <w:rPr>
          <w:rFonts w:ascii="Times New Roman" w:eastAsia="Times New Roman" w:hAnsi="Times New Roman" w:cs="Times New Roman"/>
          <w:b/>
          <w:bCs/>
          <w:color w:val="000000" w:themeColor="text1"/>
          <w:sz w:val="24"/>
          <w:szCs w:val="24"/>
          <w:lang w:eastAsia="hr-HR"/>
        </w:rPr>
        <w:t>najviše dvije prijave</w:t>
      </w:r>
      <w:r w:rsidR="005A7AA9" w:rsidRPr="00E41DA3">
        <w:rPr>
          <w:rFonts w:ascii="Times New Roman" w:eastAsia="Times New Roman" w:hAnsi="Times New Roman" w:cs="Times New Roman"/>
          <w:b/>
          <w:bCs/>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Ako jedan (isti) nositelj projekta</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781186EC"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nositelja projekta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20E2ACCC"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unutar</w:t>
      </w:r>
      <w:r w:rsidR="00E41DA3">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 xml:space="preserve">nositelj projekta može podnijeti tek nakon 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w:t>
      </w:r>
      <w:r w:rsidR="00B04B27">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 xml:space="preserve">unutar </w:t>
      </w:r>
      <w:r w:rsidR="00B04B27">
        <w:rPr>
          <w:rFonts w:ascii="Times New Roman" w:eastAsia="Times New Roman" w:hAnsi="Times New Roman" w:cs="Times New Roman"/>
          <w:color w:val="000000" w:themeColor="text1"/>
          <w:sz w:val="24"/>
          <w:szCs w:val="24"/>
          <w:lang w:eastAsia="hr-HR"/>
        </w:rPr>
        <w:lastRenderedPageBreak/>
        <w:t>Mjere 3.1.1. „Pokretanje, poboljšanje ili proširenje lokalnih temeljnih usluga za ruralno stanovništvo“</w:t>
      </w:r>
      <w:r w:rsidR="00666E86" w:rsidRPr="00E24EE7">
        <w:rPr>
          <w:rFonts w:ascii="Times New Roman" w:eastAsia="Times New Roman" w:hAnsi="Times New Roman" w:cs="Times New Roman"/>
          <w:color w:val="000000" w:themeColor="text1"/>
          <w:sz w:val="24"/>
          <w:szCs w:val="24"/>
          <w:lang w:eastAsia="hr-HR"/>
        </w:rPr>
        <w:t>.</w:t>
      </w:r>
      <w:r w:rsidR="00830E68" w:rsidRPr="00E24EE7">
        <w:rPr>
          <w:rFonts w:ascii="Times New Roman" w:eastAsia="Times New Roman" w:hAnsi="Times New Roman" w:cs="Times New Roman"/>
          <w:color w:val="000000" w:themeColor="text1"/>
          <w:sz w:val="24"/>
          <w:szCs w:val="24"/>
          <w:lang w:eastAsia="hr-HR"/>
        </w:rPr>
        <w:t xml:space="preserve"> </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EE61947"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jednog nositelja</w:t>
      </w:r>
      <w:r w:rsidR="003D5954" w:rsidRPr="00E24EE7">
        <w:rPr>
          <w:rFonts w:ascii="Times New Roman" w:eastAsia="Times New Roman" w:hAnsi="Times New Roman" w:cs="Times New Roman"/>
          <w:color w:val="000000" w:themeColor="text1"/>
          <w:sz w:val="24"/>
          <w:szCs w:val="24"/>
          <w:lang w:eastAsia="hr-HR"/>
        </w:rPr>
        <w:t xml:space="preserve"> projekta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1B2AB1E7"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čaja jednom (istom) nositelju</w:t>
      </w:r>
      <w:r w:rsidR="0094244F" w:rsidRPr="00E24EE7">
        <w:rPr>
          <w:rFonts w:ascii="Times New Roman" w:eastAsia="Times New Roman" w:hAnsi="Times New Roman" w:cs="Times New Roman"/>
          <w:color w:val="000000" w:themeColor="text1"/>
          <w:sz w:val="24"/>
          <w:szCs w:val="24"/>
          <w:lang w:eastAsia="hr-HR"/>
        </w:rPr>
        <w:t xml:space="preserve"> projekta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6CE9F98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tom) ili dva različita nositelja projekta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443C5897" w:rsidR="00941018" w:rsidRPr="00E24EE7" w:rsidRDefault="00B401BD" w:rsidP="00697CCF">
            <w:pPr>
              <w:spacing w:after="120"/>
              <w:jc w:val="both"/>
              <w:rPr>
                <w:rFonts w:ascii="Times New Roman" w:hAnsi="Times New Roman" w:cs="Times New Roman"/>
                <w:b/>
                <w:color w:val="000000" w:themeColor="text1"/>
                <w:sz w:val="24"/>
                <w:szCs w:val="24"/>
                <w:u w:val="single"/>
                <w:lang w:val="hr-HR"/>
              </w:rPr>
            </w:pPr>
            <w:r w:rsidRPr="00E24EE7">
              <w:rPr>
                <w:rFonts w:ascii="Times New Roman" w:hAnsi="Times New Roman" w:cs="Times New Roman"/>
                <w:color w:val="000000" w:themeColor="text1"/>
                <w:sz w:val="24"/>
                <w:szCs w:val="24"/>
              </w:rPr>
              <w:t>Nositelji projekta</w:t>
            </w:r>
            <w:r w:rsidR="0063493E" w:rsidRPr="00E24EE7">
              <w:rPr>
                <w:rFonts w:ascii="Times New Roman" w:hAnsi="Times New Roman" w:cs="Times New Roman"/>
                <w:color w:val="000000" w:themeColor="text1"/>
                <w:sz w:val="24"/>
                <w:szCs w:val="24"/>
              </w:rPr>
              <w:t xml:space="preserve"> </w:t>
            </w:r>
            <w:r w:rsidR="0024742F" w:rsidRPr="00E24EE7">
              <w:rPr>
                <w:rFonts w:ascii="Times New Roman" w:hAnsi="Times New Roman" w:cs="Times New Roman"/>
                <w:color w:val="000000" w:themeColor="text1"/>
                <w:sz w:val="24"/>
                <w:szCs w:val="24"/>
              </w:rPr>
              <w:t>koji su</w:t>
            </w:r>
            <w:r w:rsidR="0063493E" w:rsidRPr="00E24EE7">
              <w:rPr>
                <w:rFonts w:ascii="Times New Roman" w:hAnsi="Times New Roman" w:cs="Times New Roman"/>
                <w:color w:val="000000" w:themeColor="text1"/>
                <w:sz w:val="24"/>
                <w:szCs w:val="24"/>
              </w:rPr>
              <w:t xml:space="preserve"> u postupku dodjele sredstava u sklopu </w:t>
            </w:r>
            <w:r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 natječaja za tip o</w:t>
            </w:r>
            <w:r w:rsidR="00F62F4B" w:rsidRPr="00E24EE7">
              <w:rPr>
                <w:rFonts w:ascii="Times New Roman" w:hAnsi="Times New Roman" w:cs="Times New Roman"/>
                <w:color w:val="000000" w:themeColor="text1"/>
                <w:sz w:val="24"/>
                <w:szCs w:val="24"/>
              </w:rPr>
              <w:t>peracije 7.4</w:t>
            </w:r>
            <w:r w:rsidR="0063493E" w:rsidRPr="00E24EE7">
              <w:rPr>
                <w:rFonts w:ascii="Times New Roman" w:hAnsi="Times New Roman" w:cs="Times New Roman"/>
                <w:color w:val="000000" w:themeColor="text1"/>
                <w:sz w:val="24"/>
                <w:szCs w:val="24"/>
              </w:rPr>
              <w:t xml:space="preserve">.1. </w:t>
            </w:r>
            <w:r w:rsidR="0024742F" w:rsidRPr="00E24EE7">
              <w:rPr>
                <w:rFonts w:ascii="Times New Roman" w:hAnsi="Times New Roman" w:cs="Times New Roman"/>
                <w:b/>
                <w:color w:val="000000" w:themeColor="text1"/>
                <w:sz w:val="24"/>
                <w:szCs w:val="24"/>
                <w:u w:val="single"/>
              </w:rPr>
              <w:t>mogu istovremeno biti u postupku odabira projekata temeljem ovog Natječaja</w:t>
            </w:r>
            <w:r w:rsidR="004C7DB8" w:rsidRPr="00E24EE7">
              <w:rPr>
                <w:rFonts w:ascii="Times New Roman" w:hAnsi="Times New Roman" w:cs="Times New Roman"/>
                <w:b/>
                <w:color w:val="000000" w:themeColor="text1"/>
                <w:sz w:val="24"/>
                <w:szCs w:val="24"/>
                <w:u w:val="single"/>
              </w:rPr>
              <w:t>, ali pod uvjetom da se r</w:t>
            </w:r>
            <w:r w:rsidR="00345C0D" w:rsidRPr="00E24EE7">
              <w:rPr>
                <w:rFonts w:ascii="Times New Roman" w:hAnsi="Times New Roman" w:cs="Times New Roman"/>
                <w:b/>
                <w:color w:val="000000" w:themeColor="text1"/>
                <w:sz w:val="24"/>
                <w:szCs w:val="24"/>
                <w:u w:val="single"/>
              </w:rPr>
              <w:t xml:space="preserve">adi </w:t>
            </w:r>
            <w:r w:rsidR="004C7DB8" w:rsidRPr="00E24EE7">
              <w:rPr>
                <w:rFonts w:ascii="Times New Roman" w:hAnsi="Times New Roman" w:cs="Times New Roman"/>
                <w:b/>
                <w:color w:val="000000" w:themeColor="text1"/>
                <w:sz w:val="24"/>
                <w:szCs w:val="24"/>
                <w:u w:val="single"/>
              </w:rPr>
              <w:t>o različitim projektima i prihvatljivim troškovima</w:t>
            </w:r>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0" w:name="_Toc450901557"/>
      <w:bookmarkStart w:id="31" w:name="_Toc505958384"/>
      <w:bookmarkStart w:id="32" w:name="_Toc371521560"/>
    </w:p>
    <w:p w14:paraId="54AC6275" w14:textId="444D04FD"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3" w:name="_Toc120174278"/>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riji za isključenje nositelja projekta</w:t>
      </w:r>
      <w:r w:rsidRPr="00E24EE7">
        <w:rPr>
          <w:rFonts w:ascii="Times New Roman" w:hAnsi="Times New Roman" w:cs="Times New Roman"/>
          <w:b/>
          <w:color w:val="000000" w:themeColor="text1"/>
          <w:sz w:val="24"/>
          <w:szCs w:val="24"/>
        </w:rPr>
        <w:t xml:space="preserve"> (Tko ne može sudjelovati?)</w:t>
      </w:r>
      <w:bookmarkEnd w:id="30"/>
      <w:bookmarkEnd w:id="31"/>
      <w:bookmarkEnd w:id="33"/>
    </w:p>
    <w:p w14:paraId="3CC32E3C" w14:textId="7364D7BC"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nositelju projekta</w:t>
      </w:r>
      <w:r w:rsidR="00E11395" w:rsidRPr="00E24EE7">
        <w:rPr>
          <w:rFonts w:ascii="Times New Roman" w:eastAsia="Times New Roman" w:hAnsi="Times New Roman" w:cs="Times New Roman"/>
          <w:color w:val="000000" w:themeColor="text1"/>
          <w:sz w:val="24"/>
          <w:szCs w:val="24"/>
          <w:lang w:eastAsia="ar-SA"/>
        </w:rPr>
        <w:t>:</w:t>
      </w:r>
    </w:p>
    <w:p w14:paraId="26D17848" w14:textId="691D8577" w:rsidR="00FF6D26" w:rsidRPr="00E24EE7" w:rsidRDefault="00FF6D26" w:rsidP="00D86F88">
      <w:pPr>
        <w:numPr>
          <w:ilvl w:val="0"/>
          <w:numId w:val="7"/>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isno o organizacijskom obliku nositelja projekta podrazumijeva sljedeće:</w:t>
      </w:r>
    </w:p>
    <w:p w14:paraId="404685DC" w14:textId="1E30A267" w:rsidR="00D86F8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2124D57E" w:rsidR="006D20A4" w:rsidRPr="00E24EE7" w:rsidRDefault="006D20A4"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7E5B6A">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74423C97" w:rsidR="00152F66" w:rsidRPr="00E24EE7" w:rsidRDefault="00B771BF"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(nositelj projekta</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2C08E712" w:rsidR="00275316" w:rsidRPr="00E24EE7" w:rsidRDefault="00EC2E6D"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(nositelj projekta</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F653EC">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podugovaratelje,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E24EE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E24EE7">
      <w:pPr>
        <w:numPr>
          <w:ilvl w:val="0"/>
          <w:numId w:val="7"/>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062884">
      <w:pPr>
        <w:numPr>
          <w:ilvl w:val="0"/>
          <w:numId w:val="7"/>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E24EE7">
      <w:pPr>
        <w:numPr>
          <w:ilvl w:val="0"/>
          <w:numId w:val="7"/>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3"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C2773C">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E24EE7">
              <w:rPr>
                <w:rFonts w:ascii="Times New Roman" w:hAnsi="Times New Roman" w:cs="Times New Roman"/>
                <w:b/>
                <w:color w:val="000000" w:themeColor="text1"/>
                <w:sz w:val="24"/>
                <w:szCs w:val="24"/>
              </w:rPr>
              <w:t>Napomena:</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Zakoni i podzakonski akti i brojevi Narodnih </w:t>
            </w:r>
            <w:r w:rsidR="00EA1F48" w:rsidRPr="00E24EE7">
              <w:rPr>
                <w:rFonts w:ascii="Times New Roman" w:hAnsi="Times New Roman" w:cs="Times New Roman"/>
                <w:color w:val="000000" w:themeColor="text1"/>
                <w:sz w:val="24"/>
                <w:szCs w:val="24"/>
              </w:rPr>
              <w:t>novina navedeni su u ovom Natječaju</w:t>
            </w:r>
            <w:r w:rsidRPr="00E24EE7">
              <w:rPr>
                <w:rFonts w:ascii="Times New Roman" w:hAnsi="Times New Roman" w:cs="Times New Roman"/>
                <w:color w:val="000000" w:themeColor="text1"/>
                <w:sz w:val="24"/>
                <w:szCs w:val="24"/>
              </w:rPr>
              <w:t xml:space="preserve"> kao </w:t>
            </w:r>
            <w:r w:rsidR="00EA1F48" w:rsidRPr="00E24EE7">
              <w:rPr>
                <w:rFonts w:ascii="Times New Roman" w:hAnsi="Times New Roman" w:cs="Times New Roman"/>
                <w:color w:val="000000" w:themeColor="text1"/>
                <w:sz w:val="24"/>
                <w:szCs w:val="24"/>
              </w:rPr>
              <w:t xml:space="preserve">važeći u trenutku </w:t>
            </w:r>
            <w:r w:rsidR="00497DB0" w:rsidRPr="00E24EE7">
              <w:rPr>
                <w:rFonts w:ascii="Times New Roman" w:hAnsi="Times New Roman" w:cs="Times New Roman"/>
                <w:color w:val="000000" w:themeColor="text1"/>
                <w:sz w:val="24"/>
                <w:szCs w:val="24"/>
              </w:rPr>
              <w:t>objave</w:t>
            </w:r>
            <w:r w:rsidR="00EA1F48" w:rsidRPr="00E24EE7">
              <w:rPr>
                <w:rFonts w:ascii="Times New Roman" w:hAnsi="Times New Roman" w:cs="Times New Roman"/>
                <w:color w:val="000000" w:themeColor="text1"/>
                <w:sz w:val="24"/>
                <w:szCs w:val="24"/>
              </w:rPr>
              <w:t xml:space="preserve"> Natječaja</w:t>
            </w:r>
            <w:r w:rsidRPr="00E24EE7">
              <w:rPr>
                <w:rFonts w:ascii="Times New Roman" w:hAnsi="Times New Roman" w:cs="Times New Roman"/>
                <w:color w:val="000000" w:themeColor="text1"/>
                <w:sz w:val="24"/>
                <w:szCs w:val="24"/>
              </w:rPr>
              <w:t xml:space="preserve"> t</w:t>
            </w:r>
            <w:r w:rsidR="00EA1F48" w:rsidRPr="00E24EE7">
              <w:rPr>
                <w:rFonts w:ascii="Times New Roman" w:hAnsi="Times New Roman" w:cs="Times New Roman"/>
                <w:color w:val="000000" w:themeColor="text1"/>
                <w:sz w:val="24"/>
                <w:szCs w:val="24"/>
              </w:rPr>
              <w:t xml:space="preserve">e se na </w:t>
            </w:r>
            <w:r w:rsidRPr="00E24EE7">
              <w:rPr>
                <w:rFonts w:ascii="Times New Roman" w:hAnsi="Times New Roman" w:cs="Times New Roman"/>
                <w:color w:val="000000" w:themeColor="text1"/>
                <w:sz w:val="24"/>
                <w:szCs w:val="24"/>
              </w:rPr>
              <w:t>prateće obrasce i priloge, kao i na sve</w:t>
            </w:r>
            <w:r w:rsidR="00EA1F48" w:rsidRPr="00E24EE7">
              <w:rPr>
                <w:rFonts w:ascii="Times New Roman" w:hAnsi="Times New Roman" w:cs="Times New Roman"/>
                <w:color w:val="000000" w:themeColor="text1"/>
                <w:sz w:val="24"/>
                <w:szCs w:val="24"/>
              </w:rPr>
              <w:t xml:space="preserve"> odnose koji proizlaze iz Natječaja</w:t>
            </w:r>
            <w:r w:rsidRPr="00E24EE7">
              <w:rPr>
                <w:rFonts w:ascii="Times New Roman" w:hAnsi="Times New Roman" w:cs="Times New Roman"/>
                <w:color w:val="000000" w:themeColor="text1"/>
                <w:sz w:val="24"/>
                <w:szCs w:val="24"/>
              </w:rPr>
              <w:t xml:space="preserve">, primjenjuje pozitivno zakonodavstvo što uključuje zakonske i podzakonske akte RH i EU koji su naknadno stupili na snagu, kao i sve njihove kasnije izmjene i dopune. </w:t>
            </w:r>
          </w:p>
          <w:p w14:paraId="2A8885FC" w14:textId="466935A8" w:rsidR="007C4785" w:rsidRPr="00E24EE7" w:rsidRDefault="00E0119D" w:rsidP="00EA1F48">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Obveza </w:t>
            </w:r>
            <w:r w:rsidR="00EA1F48" w:rsidRPr="00E24EE7">
              <w:rPr>
                <w:rFonts w:ascii="Times New Roman" w:hAnsi="Times New Roman" w:cs="Times New Roman"/>
                <w:color w:val="000000" w:themeColor="text1"/>
                <w:sz w:val="24"/>
                <w:szCs w:val="24"/>
              </w:rPr>
              <w:t>je nositelja projekta</w:t>
            </w:r>
            <w:r w:rsidR="007C4785" w:rsidRPr="00E24EE7">
              <w:rPr>
                <w:rFonts w:ascii="Times New Roman" w:hAnsi="Times New Roman" w:cs="Times New Roman"/>
                <w:color w:val="000000" w:themeColor="text1"/>
                <w:sz w:val="24"/>
                <w:szCs w:val="24"/>
              </w:rPr>
              <w:t xml:space="preserve"> provjeriti primjenjivo zakonodav</w:t>
            </w:r>
            <w:r w:rsidR="00EA1F48" w:rsidRPr="00E24EE7">
              <w:rPr>
                <w:rFonts w:ascii="Times New Roman" w:hAnsi="Times New Roman" w:cs="Times New Roman"/>
                <w:color w:val="000000" w:themeColor="text1"/>
                <w:sz w:val="24"/>
                <w:szCs w:val="24"/>
              </w:rPr>
              <w:t>stvo u trenutku prijave na Natječaj, jer će se na nositelja projekta</w:t>
            </w:r>
            <w:r w:rsidR="007C4785" w:rsidRPr="00E24EE7">
              <w:rPr>
                <w:rFonts w:ascii="Times New Roman" w:hAnsi="Times New Roman" w:cs="Times New Roman"/>
                <w:color w:val="000000" w:themeColor="text1"/>
                <w:sz w:val="24"/>
                <w:szCs w:val="24"/>
              </w:rPr>
              <w:t xml:space="preserve"> primijeniti važeći propisi u trenutku podnošenja </w:t>
            </w:r>
            <w:r w:rsidR="00EA1F48" w:rsidRPr="00E24EE7">
              <w:rPr>
                <w:rFonts w:ascii="Times New Roman" w:hAnsi="Times New Roman" w:cs="Times New Roman"/>
                <w:color w:val="000000" w:themeColor="text1"/>
                <w:sz w:val="24"/>
                <w:szCs w:val="24"/>
              </w:rPr>
              <w:t>prijave projekta.</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Sukob interesa između nositelja projekta i gospodarskog subjekta (ponuditelj, član zajednice i podugovaratelj) obuhvaća situacije kada predstavnici nositelja projekta ili pružatelja usluga službe nabave koji djeluje u ime nositelja projekta, koji su uključeni u provedbu postupka javne nabave ili mogu utjecati na ishod tog postupka, imaju, izravno ili neizravno, financijski, </w:t>
            </w:r>
            <w:r w:rsidRPr="00E24EE7">
              <w:rPr>
                <w:rFonts w:ascii="Times New Roman" w:hAnsi="Times New Roman" w:cs="Times New Roman"/>
                <w:color w:val="000000" w:themeColor="text1"/>
                <w:sz w:val="24"/>
                <w:szCs w:val="24"/>
              </w:rPr>
              <w:lastRenderedPageBreak/>
              <w:t>gospodarski ili bilo koji drugi osobni interes koji bi se mogao smatrati štetnim za njihovu nepristranost i neovisnost u okviru postupka, a osobito u sljedećim situacijama:</w:t>
            </w:r>
          </w:p>
          <w:p w14:paraId="0150FDE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1. ako predstavnik nositelja projekta istovremeno obavlja upravljačke poslove u gospodarskom subjektu, ili</w:t>
            </w:r>
          </w:p>
          <w:p w14:paraId="1B294EA0"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2. ako je predstavnik nositelja projekta vlasnik poslovnog udjela, dionica odnosno drugih prava na temelju kojih sudjeluje u upravljanju odnosno u kapitalu toga gospodarskog subjekta s više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p>
          <w:p w14:paraId="71EEB127"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Predstavnikom nositelja projekta smatra se:</w:t>
            </w:r>
          </w:p>
          <w:p w14:paraId="6D0F1A77" w14:textId="4AB4164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r w:rsidRPr="00816044">
              <w:rPr>
                <w:rFonts w:ascii="Times New Roman" w:hAnsi="Times New Roman" w:cs="Times New Roman"/>
                <w:color w:val="000000" w:themeColor="text1"/>
                <w:sz w:val="24"/>
                <w:szCs w:val="24"/>
              </w:rPr>
              <w:t xml:space="preserve">vlasnik, </w:t>
            </w:r>
            <w:r w:rsidRPr="00E24EE7">
              <w:rPr>
                <w:rFonts w:ascii="Times New Roman" w:hAnsi="Times New Roman" w:cs="Times New Roman"/>
                <w:color w:val="000000" w:themeColor="text1"/>
                <w:sz w:val="24"/>
                <w:szCs w:val="24"/>
              </w:rPr>
              <w:t>čelnik te član upravnog, upravljačkog i nadzornog tijela nositelja projekta</w:t>
            </w:r>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2. član stručnog povjerenstva za nabavu</w:t>
            </w:r>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3. druga osoba koja je uključena u provedbu ili koja može utjecati na odlučivanje naručitelja u postupku nabave, i</w:t>
            </w:r>
          </w:p>
          <w:p w14:paraId="6BEEA914" w14:textId="77777777"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4. sve gore navedene osobe pod točkama 1., 2. i 3. kod pružatelja usluga nabave koji djeluju u ime nositelja projekta.</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r w:rsidRPr="00E24EE7">
              <w:rPr>
                <w:rFonts w:ascii="Times New Roman" w:hAnsi="Times New Roman" w:cs="Times New Roman"/>
                <w:i/>
                <w:color w:val="000000" w:themeColor="text1"/>
                <w:sz w:val="24"/>
                <w:szCs w:val="24"/>
              </w:rPr>
              <w:t xml:space="preserve">Odredba primjenjiva u slučajevima kada se provodi postupak jednostavne nabave putem Portala ponuda.  </w:t>
            </w:r>
          </w:p>
        </w:tc>
      </w:tr>
    </w:tbl>
    <w:p w14:paraId="2B289437" w14:textId="77777777" w:rsidR="00AC3C9F" w:rsidRPr="00E24EE7" w:rsidRDefault="00AC3C9F" w:rsidP="00E11395">
      <w:pPr>
        <w:spacing w:before="120" w:after="120"/>
        <w:jc w:val="both"/>
        <w:rPr>
          <w:rFonts w:ascii="Times New Roman" w:hAnsi="Times New Roman" w:cs="Times New Roman"/>
          <w:color w:val="000000" w:themeColor="text1"/>
          <w:sz w:val="24"/>
          <w:szCs w:val="24"/>
          <w:highlight w:val="lightGray"/>
          <w:shd w:val="clear" w:color="auto" w:fill="BFBFBF" w:themeFill="background1" w:themeFillShade="BF"/>
        </w:rPr>
      </w:pPr>
    </w:p>
    <w:p w14:paraId="360BD052" w14:textId="4248F85A"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39" w:name="_Toc450901558"/>
      <w:bookmarkStart w:id="40" w:name="_Toc505958385"/>
      <w:bookmarkStart w:id="41" w:name="_Toc120174279"/>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dnose na sposobnost nositelja projekta</w:t>
      </w:r>
      <w:r w:rsidRPr="00E24EE7">
        <w:rPr>
          <w:rFonts w:ascii="Times New Roman" w:hAnsi="Times New Roman" w:cs="Times New Roman"/>
          <w:b/>
          <w:color w:val="000000" w:themeColor="text1"/>
          <w:sz w:val="24"/>
          <w:szCs w:val="24"/>
        </w:rPr>
        <w:t>, učinkovito korištenje sredstava i održivost rezultata projekta</w:t>
      </w:r>
      <w:bookmarkEnd w:id="38"/>
      <w:bookmarkEnd w:id="39"/>
      <w:bookmarkEnd w:id="40"/>
      <w:bookmarkEnd w:id="41"/>
    </w:p>
    <w:p w14:paraId="56F634DA" w14:textId="598E06E0" w:rsidR="009319CB" w:rsidRPr="00E24EE7" w:rsidRDefault="00A67F84" w:rsidP="009319CB">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w:t>
      </w:r>
      <w:r w:rsidR="00776F02" w:rsidRPr="00E24EE7">
        <w:rPr>
          <w:rFonts w:ascii="Times New Roman" w:hAnsi="Times New Roman" w:cs="Times New Roman"/>
          <w:color w:val="000000" w:themeColor="text1"/>
          <w:sz w:val="24"/>
          <w:szCs w:val="24"/>
        </w:rPr>
        <w:t xml:space="preserve">je obvezan </w:t>
      </w:r>
      <w:r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34E22162"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Nositelji projekta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6572C239" w:rsidR="00E77DDE" w:rsidRPr="00E24EE7"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nositelj projekta ne smije</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nositelj </w:t>
      </w:r>
      <w:r w:rsidR="00C0346E" w:rsidRPr="00E24EE7">
        <w:rPr>
          <w:rFonts w:ascii="Times New Roman" w:eastAsia="Times New Roman" w:hAnsi="Times New Roman" w:cs="Times New Roman"/>
          <w:color w:val="000000" w:themeColor="text1"/>
          <w:sz w:val="24"/>
          <w:szCs w:val="24"/>
        </w:rPr>
        <w:t xml:space="preserve">projekta </w:t>
      </w:r>
      <w:r w:rsidR="00452473" w:rsidRPr="00E24EE7">
        <w:rPr>
          <w:rFonts w:ascii="Times New Roman" w:eastAsia="Times New Roman" w:hAnsi="Times New Roman" w:cs="Times New Roman"/>
          <w:color w:val="000000" w:themeColor="text1"/>
          <w:sz w:val="24"/>
          <w:szCs w:val="24"/>
        </w:rPr>
        <w:t>jedinica lokalne samouprave koja upravljanje i održavanje može prenijeti samo na trgovačko društvo koje osniva nositelj projekta</w:t>
      </w:r>
      <w:r w:rsidR="002C04E9" w:rsidRPr="00E24EE7">
        <w:rPr>
          <w:rFonts w:ascii="Times New Roman" w:eastAsia="Times New Roman" w:hAnsi="Times New Roman" w:cs="Times New Roman"/>
          <w:color w:val="000000" w:themeColor="text1"/>
          <w:sz w:val="24"/>
          <w:szCs w:val="24"/>
        </w:rPr>
        <w:t>, javnu ustanovu koju osniva nositelj projekta</w:t>
      </w:r>
      <w:r w:rsidR="00452473" w:rsidRPr="00E24EE7">
        <w:rPr>
          <w:rFonts w:ascii="Times New Roman" w:eastAsia="Times New Roman" w:hAnsi="Times New Roman" w:cs="Times New Roman"/>
          <w:color w:val="000000" w:themeColor="text1"/>
          <w:sz w:val="24"/>
          <w:szCs w:val="24"/>
        </w:rPr>
        <w:t xml:space="preserve"> ili na javnu ustanovu koju </w:t>
      </w:r>
      <w:r w:rsidR="00452473" w:rsidRPr="00E24EE7">
        <w:rPr>
          <w:rFonts w:ascii="Times New Roman" w:eastAsia="Times New Roman" w:hAnsi="Times New Roman" w:cs="Times New Roman"/>
          <w:color w:val="000000" w:themeColor="text1"/>
          <w:sz w:val="24"/>
          <w:szCs w:val="24"/>
        </w:rPr>
        <w:lastRenderedPageBreak/>
        <w:t>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n koju osniva nositelj projekta</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40358236"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imes New Roman" w:hAnsi="Times New Roman" w:cs="Times New Roman"/>
                <w:color w:val="000000" w:themeColor="text1"/>
                <w:sz w:val="24"/>
                <w:szCs w:val="24"/>
              </w:rPr>
              <w:t xml:space="preserve">Razdoblje provedbe projekta je najviše </w:t>
            </w:r>
            <w:r w:rsidRPr="008F5DD0">
              <w:rPr>
                <w:rFonts w:ascii="Times New Roman" w:eastAsia="Times New Roman" w:hAnsi="Times New Roman" w:cs="Times New Roman"/>
                <w:b/>
                <w:bCs/>
                <w:color w:val="000000" w:themeColor="text1"/>
                <w:sz w:val="24"/>
                <w:szCs w:val="24"/>
              </w:rPr>
              <w:t>24 mjeseca</w:t>
            </w:r>
            <w:r w:rsidRPr="00E24EE7">
              <w:rPr>
                <w:rFonts w:ascii="Times New Roman" w:eastAsia="Times New Roman" w:hAnsi="Times New Roman" w:cs="Times New Roman"/>
                <w:color w:val="000000" w:themeColor="text1"/>
                <w:sz w:val="24"/>
                <w:szCs w:val="24"/>
              </w:rPr>
              <w:t xml:space="preserve"> od datuma donošenja Odluke o dodjel</w:t>
            </w:r>
            <w:r w:rsidR="00296FD1">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sredstava,</w:t>
            </w:r>
            <w:r w:rsidR="00AC3C9F" w:rsidRPr="00E24EE7">
              <w:rPr>
                <w:rFonts w:ascii="Times New Roman" w:eastAsia="Times New Roman" w:hAnsi="Times New Roman" w:cs="Times New Roman"/>
                <w:color w:val="000000" w:themeColor="text1"/>
                <w:sz w:val="24"/>
                <w:szCs w:val="24"/>
              </w:rPr>
              <w:t xml:space="preserve"> ali ne kasnije od</w:t>
            </w:r>
            <w:r w:rsidR="008F5DD0">
              <w:rPr>
                <w:rFonts w:ascii="Times New Roman" w:eastAsia="Times New Roman" w:hAnsi="Times New Roman" w:cs="Times New Roman"/>
                <w:color w:val="000000" w:themeColor="text1"/>
                <w:sz w:val="24"/>
                <w:szCs w:val="24"/>
              </w:rPr>
              <w:t xml:space="preserve"> </w:t>
            </w:r>
            <w:r w:rsidR="00AC3C9F" w:rsidRPr="008F5DD0">
              <w:rPr>
                <w:rFonts w:ascii="Times New Roman" w:eastAsia="Times New Roman" w:hAnsi="Times New Roman" w:cs="Times New Roman"/>
                <w:b/>
                <w:bCs/>
                <w:color w:val="000000" w:themeColor="text1"/>
                <w:sz w:val="24"/>
                <w:szCs w:val="24"/>
                <w:shd w:val="clear" w:color="auto" w:fill="FFFFFF" w:themeFill="background1"/>
              </w:rPr>
              <w:t>30. lipnja 2025.</w:t>
            </w:r>
            <w:r w:rsidR="00AC3C9F" w:rsidRPr="008F5DD0">
              <w:rPr>
                <w:rFonts w:ascii="Times New Roman" w:eastAsia="Times New Roman" w:hAnsi="Times New Roman" w:cs="Times New Roman"/>
                <w:b/>
                <w:bCs/>
                <w:color w:val="000000" w:themeColor="text1"/>
                <w:sz w:val="24"/>
                <w:szCs w:val="24"/>
              </w:rPr>
              <w:t>g</w:t>
            </w:r>
            <w:r w:rsidR="00AC3C9F" w:rsidRPr="00E24EE7">
              <w:rPr>
                <w:rFonts w:ascii="Times New Roman" w:eastAsia="Times New Roman" w:hAnsi="Times New Roman" w:cs="Times New Roman"/>
                <w:color w:val="000000" w:themeColor="text1"/>
                <w:sz w:val="24"/>
                <w:szCs w:val="24"/>
              </w:rPr>
              <w:t xml:space="preserve">. </w:t>
            </w:r>
            <w:r w:rsidR="00296FD1">
              <w:rPr>
                <w:rFonts w:ascii="Times New Roman" w:eastAsia="Times New Roman" w:hAnsi="Times New Roman" w:cs="Times New Roman"/>
                <w:color w:val="000000" w:themeColor="text1"/>
                <w:sz w:val="24"/>
                <w:szCs w:val="24"/>
              </w:rPr>
              <w:t xml:space="preserve">Dan </w:t>
            </w:r>
            <w:r w:rsidR="00AC3C9F" w:rsidRPr="00E24EE7">
              <w:rPr>
                <w:rFonts w:ascii="Times New Roman" w:eastAsia="Times New Roman" w:hAnsi="Times New Roman" w:cs="Times New Roman"/>
                <w:color w:val="000000" w:themeColor="text1"/>
                <w:sz w:val="24"/>
                <w:szCs w:val="24"/>
              </w:rPr>
              <w:t xml:space="preserve">završetka provedbe projekta se smatra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podnošenja konačnog zahtjeva za isplatu.</w:t>
            </w:r>
          </w:p>
        </w:tc>
      </w:tr>
    </w:tbl>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0BFFDF8D"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od nositelja projekta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r w:rsidRPr="00E24EE7">
              <w:rPr>
                <w:rFonts w:ascii="Times New Roman" w:hAnsi="Times New Roman" w:cs="Times New Roman"/>
                <w:b/>
                <w:color w:val="000000" w:themeColor="text1"/>
                <w:sz w:val="24"/>
                <w:szCs w:val="24"/>
              </w:rPr>
              <w:t>Napomena:</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r w:rsidRPr="00E24EE7">
              <w:rPr>
                <w:rFonts w:ascii="Times New Roman" w:eastAsiaTheme="minorEastAsia" w:hAnsi="Times New Roman" w:cs="Times New Roman"/>
                <w:color w:val="000000" w:themeColor="text1"/>
                <w:sz w:val="24"/>
                <w:szCs w:val="24"/>
              </w:rPr>
              <w:t>Iznimno, moguća su odstupanja</w:t>
            </w:r>
            <w:r w:rsidR="00987A75" w:rsidRPr="00E24EE7">
              <w:rPr>
                <w:rFonts w:ascii="Times New Roman" w:eastAsiaTheme="minorEastAsia" w:hAnsi="Times New Roman" w:cs="Times New Roman"/>
                <w:color w:val="000000" w:themeColor="text1"/>
                <w:sz w:val="24"/>
                <w:szCs w:val="24"/>
              </w:rPr>
              <w:t xml:space="preserve"> od navedenih zahtjeva</w:t>
            </w:r>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ovom poglavlju </w:t>
            </w:r>
            <w:r w:rsidRPr="00E24EE7">
              <w:rPr>
                <w:rFonts w:ascii="Times New Roman" w:eastAsiaTheme="minorEastAsia" w:hAnsi="Times New Roman" w:cs="Times New Roman"/>
                <w:color w:val="000000" w:themeColor="text1"/>
                <w:sz w:val="24"/>
                <w:szCs w:val="24"/>
              </w:rPr>
              <w:t xml:space="preserve">u slučajevima više sile ili nastupa izvanrednih </w:t>
            </w:r>
            <w:r w:rsidR="00987A75" w:rsidRPr="00E24EE7">
              <w:rPr>
                <w:rFonts w:ascii="Times New Roman" w:eastAsiaTheme="minorEastAsia" w:hAnsi="Times New Roman" w:cs="Times New Roman"/>
                <w:color w:val="000000" w:themeColor="text1"/>
                <w:sz w:val="24"/>
                <w:szCs w:val="24"/>
              </w:rPr>
              <w:t>okolnosti, kako je propisano čl</w:t>
            </w:r>
            <w:r w:rsidR="00E7488D" w:rsidRPr="00E24EE7">
              <w:rPr>
                <w:rFonts w:ascii="Times New Roman" w:eastAsiaTheme="minorEastAsia" w:hAnsi="Times New Roman" w:cs="Times New Roman"/>
                <w:color w:val="000000" w:themeColor="text1"/>
                <w:sz w:val="24"/>
                <w:szCs w:val="24"/>
              </w:rPr>
              <w:t>ankom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st</w:t>
            </w:r>
            <w:r w:rsidR="00E7488D" w:rsidRPr="00E24EE7">
              <w:rPr>
                <w:rFonts w:ascii="Times New Roman" w:eastAsiaTheme="minorEastAsia" w:hAnsi="Times New Roman" w:cs="Times New Roman"/>
                <w:color w:val="000000" w:themeColor="text1"/>
                <w:sz w:val="24"/>
                <w:szCs w:val="24"/>
              </w:rPr>
              <w:t>avkom</w:t>
            </w:r>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Uredbe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4C498DF5"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2" w:name="_Toc505958386"/>
      <w:bookmarkStart w:id="43" w:name="_Toc120174280"/>
      <w:r w:rsidRPr="00E24EE7">
        <w:rPr>
          <w:rFonts w:ascii="Times New Roman" w:hAnsi="Times New Roman" w:cs="Times New Roman"/>
          <w:b/>
          <w:color w:val="000000" w:themeColor="text1"/>
          <w:sz w:val="24"/>
          <w:szCs w:val="24"/>
        </w:rPr>
        <w:lastRenderedPageBreak/>
        <w:t>OPĆI ZAHTJEVI POSTUPKA ODABIRA PROJEKATA</w:t>
      </w:r>
      <w:bookmarkEnd w:id="42"/>
      <w:bookmarkEnd w:id="43"/>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4" w:name="_Toc120174281"/>
      <w:r w:rsidRPr="00E24EE7">
        <w:rPr>
          <w:rFonts w:ascii="Times New Roman" w:hAnsi="Times New Roman" w:cs="Times New Roman"/>
          <w:b/>
          <w:color w:val="000000" w:themeColor="text1"/>
          <w:sz w:val="24"/>
          <w:szCs w:val="24"/>
        </w:rPr>
        <w:t>Prihvatljivi projekti</w:t>
      </w:r>
      <w:bookmarkEnd w:id="44"/>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16044"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7D5E04D" w:rsidR="00E00873" w:rsidRPr="00E24EE7" w:rsidRDefault="00B468FA" w:rsidP="00EB1E48">
            <w:pPr>
              <w:spacing w:line="276" w:lineRule="auto"/>
              <w:jc w:val="center"/>
              <w:rPr>
                <w:rFonts w:ascii="Times New Roman" w:hAnsi="Times New Roman" w:cs="Times New Roman"/>
                <w:b/>
                <w:bCs/>
                <w:color w:val="000000" w:themeColor="text1"/>
                <w:sz w:val="24"/>
                <w:szCs w:val="24"/>
                <w:lang w:eastAsia="hr-HR"/>
              </w:rPr>
            </w:pPr>
            <w:r w:rsidRPr="00B468FA">
              <w:rPr>
                <w:rFonts w:ascii="Times New Roman" w:hAnsi="Times New Roman" w:cs="Times New Roman"/>
                <w:b/>
                <w:color w:val="000000" w:themeColor="text1"/>
                <w:sz w:val="24"/>
                <w:szCs w:val="24"/>
              </w:rPr>
              <w:t>Mjera 3.1.1. „Pokretanje, poboljšanje ili proširenje lokalnih temeljnih usluga za ruralno stanovništvo</w:t>
            </w:r>
            <w:r>
              <w:rPr>
                <w:rFonts w:ascii="Times New Roman" w:hAnsi="Times New Roman" w:cs="Times New Roman"/>
                <w:b/>
                <w:color w:val="000000" w:themeColor="text1"/>
                <w:sz w:val="24"/>
                <w:szCs w:val="24"/>
              </w:rPr>
              <w:t>“</w:t>
            </w:r>
            <w:r w:rsidRPr="00B468FA">
              <w:rPr>
                <w:rFonts w:ascii="Times New Roman" w:hAnsi="Times New Roman" w:cs="Times New Roman"/>
                <w:b/>
                <w:color w:val="000000" w:themeColor="text1"/>
                <w:sz w:val="24"/>
                <w:szCs w:val="24"/>
              </w:rPr>
              <w:t>(</w:t>
            </w:r>
            <w:r w:rsidR="00E00873" w:rsidRPr="00B468FA">
              <w:rPr>
                <w:rFonts w:ascii="Times New Roman" w:hAnsi="Times New Roman" w:cs="Times New Roman"/>
                <w:b/>
                <w:color w:val="000000" w:themeColor="text1"/>
                <w:sz w:val="24"/>
                <w:szCs w:val="24"/>
              </w:rPr>
              <w:t>sukladn</w:t>
            </w:r>
            <w:r w:rsidRPr="00B468FA">
              <w:rPr>
                <w:rFonts w:ascii="Times New Roman" w:hAnsi="Times New Roman" w:cs="Times New Roman"/>
                <w:b/>
                <w:color w:val="000000" w:themeColor="text1"/>
                <w:sz w:val="24"/>
                <w:szCs w:val="24"/>
              </w:rPr>
              <w:t>a</w:t>
            </w:r>
            <w:r w:rsidR="00E00873" w:rsidRPr="00B468FA">
              <w:rPr>
                <w:rFonts w:ascii="Times New Roman" w:hAnsi="Times New Roman" w:cs="Times New Roman"/>
                <w:b/>
                <w:color w:val="000000" w:themeColor="text1"/>
                <w:sz w:val="24"/>
                <w:szCs w:val="24"/>
              </w:rPr>
              <w:t xml:space="preserve"> tipu operacije 7.4.1.</w:t>
            </w:r>
            <w:r w:rsidRPr="00B468FA">
              <w:rPr>
                <w:rFonts w:ascii="Times New Roman" w:hAnsi="Times New Roman" w:cs="Times New Roman"/>
                <w:b/>
                <w:color w:val="000000" w:themeColor="text1"/>
                <w:sz w:val="24"/>
                <w:szCs w:val="24"/>
              </w:rPr>
              <w:t>)</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vatrogasni dom i spremište</w:t>
            </w:r>
          </w:p>
          <w:p w14:paraId="76E6114D"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društveni dom/kulturni centar</w:t>
            </w:r>
          </w:p>
          <w:p w14:paraId="7332A4E4"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planinarski dom i sklonište</w:t>
            </w:r>
          </w:p>
          <w:p w14:paraId="78ECAAA6"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turistički informativni centar</w:t>
            </w:r>
          </w:p>
          <w:p w14:paraId="2A5B8AD5" w14:textId="7FA3C2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dječj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igrališt</w:t>
            </w:r>
            <w:r w:rsidR="00C2773C" w:rsidRPr="00E24EE7">
              <w:rPr>
                <w:rFonts w:ascii="Times New Roman" w:eastAsia="Calibri" w:hAnsi="Times New Roman" w:cs="Times New Roman"/>
                <w:color w:val="000000" w:themeColor="text1"/>
                <w:sz w:val="24"/>
                <w:szCs w:val="24"/>
                <w:lang w:eastAsia="ar-SA"/>
              </w:rPr>
              <w:t>e</w:t>
            </w:r>
          </w:p>
          <w:p w14:paraId="14E9CFD8" w14:textId="4D9722B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sportsk</w:t>
            </w:r>
            <w:r w:rsidR="00E40E9A">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građevine</w:t>
            </w:r>
          </w:p>
          <w:p w14:paraId="68D7495D" w14:textId="71BEF2F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objekt za slatkovodni sportski ribolov (ribički dom, nadstrešnica i drugo)</w:t>
            </w:r>
          </w:p>
          <w:p w14:paraId="262661F5" w14:textId="2DE48F02"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rekreacijsk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na rijekama i jezerima</w:t>
            </w:r>
          </w:p>
          <w:p w14:paraId="2988C06F" w14:textId="58D12BB8"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biciklističk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7E4B2049" w14:textId="386AB5C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tematski put i park</w:t>
            </w:r>
          </w:p>
          <w:p w14:paraId="55AA64A5" w14:textId="439C50CA" w:rsidR="00AC387D" w:rsidRPr="00E24EE7" w:rsidRDefault="00AC387D"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zelen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(park i slično)</w:t>
            </w:r>
          </w:p>
          <w:p w14:paraId="58656CBB" w14:textId="74DA6D0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46093181" w14:textId="2B4B5624"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p>
          <w:p w14:paraId="69BCF28F" w14:textId="322CCD23"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otvoren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odvodn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kanal (koji nije sastavni dio ceste)</w:t>
            </w:r>
          </w:p>
          <w:p w14:paraId="10B249D8" w14:textId="63BEDCF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groblj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(komunalna infrastruktura i prateće građevine)</w:t>
            </w:r>
          </w:p>
          <w:p w14:paraId="22C79A8B" w14:textId="2CA06A11"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tržnic</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w:t>
            </w:r>
          </w:p>
          <w:p w14:paraId="018CA26B" w14:textId="5C23AC1D" w:rsidR="00A42DB9"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prometn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(trg, pothodnik, nadvožnjak, javne stube i prolaz koji nisu sastavni dio ceste)</w:t>
            </w:r>
          </w:p>
          <w:p w14:paraId="24F86023" w14:textId="7F875ACB" w:rsidR="00A42DB9" w:rsidRPr="00E24EE7" w:rsidRDefault="00A42DB9"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E24EE7"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biciklističke staze, tematskog puta i parka, javne </w:t>
            </w:r>
            <w:r w:rsidRPr="00E24EE7">
              <w:rPr>
                <w:rFonts w:ascii="Times New Roman" w:eastAsia="Calibri" w:hAnsi="Times New Roman" w:cs="Times New Roman"/>
                <w:color w:val="000000" w:themeColor="text1"/>
                <w:sz w:val="24"/>
                <w:szCs w:val="24"/>
                <w:lang w:eastAsia="ar-SA"/>
              </w:rPr>
              <w:lastRenderedPageBreak/>
              <w:t xml:space="preserve">zelene površine, pješačke staze, pješačke zone, javne prometne površine. </w:t>
            </w:r>
          </w:p>
        </w:tc>
      </w:tr>
      <w:tr w:rsidR="00E00873" w:rsidRPr="00816044"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7853077" w14:textId="66AA6C06" w:rsidR="00C55B40" w:rsidRPr="00E24EE7" w:rsidRDefault="00C55B40" w:rsidP="00E40E9A">
      <w:pPr>
        <w:jc w:val="both"/>
        <w:rPr>
          <w:rFonts w:ascii="Times New Roman" w:hAnsi="Times New Roman" w:cs="Times New Roman"/>
          <w:color w:val="000000" w:themeColor="text1"/>
          <w:sz w:val="24"/>
          <w:szCs w:val="24"/>
        </w:rPr>
      </w:pPr>
    </w:p>
    <w:p w14:paraId="2B59D8DE" w14:textId="77777777" w:rsidR="00BC12A1" w:rsidRPr="00E24EE7" w:rsidRDefault="00BC12A1" w:rsidP="00E40E9A">
      <w:pPr>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5" w:name="_Toc120174282"/>
      <w:r w:rsidRPr="00E24EE7">
        <w:rPr>
          <w:rFonts w:ascii="Times New Roman" w:hAnsi="Times New Roman" w:cs="Times New Roman"/>
          <w:b/>
          <w:color w:val="000000" w:themeColor="text1"/>
          <w:sz w:val="24"/>
          <w:szCs w:val="24"/>
        </w:rPr>
        <w:t>Prihvatljivost projekta</w:t>
      </w:r>
      <w:bookmarkEnd w:id="45"/>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77F12B23"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r w:rsidR="00E40E9A">
        <w:rPr>
          <w:rFonts w:ascii="Times New Roman" w:eastAsiaTheme="minorHAnsi" w:hAnsi="Times New Roman"/>
          <w:color w:val="000000" w:themeColor="text1"/>
          <w:lang w:eastAsia="en-US"/>
        </w:rPr>
        <w:t xml:space="preserve"> LAG-a „VINODOL“</w:t>
      </w:r>
    </w:p>
    <w:p w14:paraId="70C761A0" w14:textId="1BA3BEDE" w:rsidR="003E14F2" w:rsidRPr="00E24EE7" w:rsidRDefault="003E14F2" w:rsidP="000F4779">
      <w:pPr>
        <w:pStyle w:val="t-9-8"/>
        <w:numPr>
          <w:ilvl w:val="0"/>
          <w:numId w:val="37"/>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6E397E75"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443EAD49" w:rsidR="00062884" w:rsidRPr="00E24EE7" w:rsidRDefault="00062884" w:rsidP="000F4779">
      <w:pPr>
        <w:pStyle w:val="ListParagraph1"/>
        <w:numPr>
          <w:ilvl w:val="0"/>
          <w:numId w:val="37"/>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 xml:space="preserve">biti u skladu s lokalnom razvojnom strategijom </w:t>
      </w:r>
      <w:r w:rsidR="00A1646E">
        <w:rPr>
          <w:rFonts w:ascii="Times New Roman" w:hAnsi="Times New Roman"/>
          <w:color w:val="000000" w:themeColor="text1"/>
        </w:rPr>
        <w:t>L</w:t>
      </w:r>
      <w:r w:rsidRPr="00E24EE7">
        <w:rPr>
          <w:rFonts w:ascii="Times New Roman" w:hAnsi="Times New Roman"/>
          <w:color w:val="000000" w:themeColor="text1"/>
        </w:rPr>
        <w:t>okalne akcijske grupe</w:t>
      </w:r>
      <w:r w:rsidR="00A1646E">
        <w:rPr>
          <w:rFonts w:ascii="Times New Roman" w:hAnsi="Times New Roman"/>
          <w:color w:val="000000" w:themeColor="text1"/>
        </w:rPr>
        <w:t xml:space="preserve"> „VINODOL“</w:t>
      </w:r>
      <w:r w:rsidRPr="00E24EE7">
        <w:rPr>
          <w:rFonts w:ascii="Times New Roman" w:hAnsi="Times New Roman"/>
          <w:color w:val="000000" w:themeColor="text1"/>
        </w:rPr>
        <w:t xml:space="preserve"> i prostornim planom jedinice lokalne samouprave na čijem se području projekt provodi</w:t>
      </w:r>
    </w:p>
    <w:p w14:paraId="4FCB112F" w14:textId="3E14F21B"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E24EE7" w:rsidRDefault="007447D6"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69FCA11D"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w:t>
      </w:r>
      <w:r w:rsidR="0091199E">
        <w:rPr>
          <w:rFonts w:ascii="Times New Roman" w:eastAsiaTheme="minorHAnsi" w:hAnsi="Times New Roman"/>
          <w:color w:val="000000" w:themeColor="text1"/>
          <w:lang w:eastAsia="en-US"/>
        </w:rPr>
        <w:t>e</w:t>
      </w:r>
      <w:r w:rsidR="00C95375" w:rsidRPr="00E24EE7">
        <w:rPr>
          <w:rFonts w:ascii="Times New Roman" w:eastAsiaTheme="minorHAnsi" w:hAnsi="Times New Roman"/>
          <w:color w:val="000000" w:themeColor="text1"/>
          <w:lang w:eastAsia="en-US"/>
        </w:rPr>
        <w:t xml:space="preserve">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D402B5">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lastRenderedPageBreak/>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2C21E6FF" w:rsidR="00635992" w:rsidRPr="00E24EE7" w:rsidRDefault="00AD482F"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evima iz poglavlja 3.1 točke 19. i 20</w:t>
      </w:r>
      <w:r w:rsidR="00635992" w:rsidRPr="00E24EE7">
        <w:rPr>
          <w:rFonts w:ascii="Times New Roman" w:eastAsiaTheme="minorHAnsi" w:hAnsi="Times New Roman"/>
          <w:color w:val="000000" w:themeColor="text1"/>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E24EE7" w:rsidRDefault="007447D6"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154404B0" w:rsidR="00062884" w:rsidRPr="00E24EE7" w:rsidRDefault="00062884" w:rsidP="000F4779">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eastAsiaTheme="minorHAnsi" w:hAnsi="Times New Roman"/>
          <w:color w:val="000000" w:themeColor="text1"/>
          <w:lang w:eastAsia="en-US"/>
        </w:rPr>
        <w:t>nositelj projekta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Pr="00E24EE7">
        <w:rPr>
          <w:rFonts w:ascii="Times New Roman" w:eastAsiaTheme="minorHAnsi" w:hAnsi="Times New Roman"/>
          <w:color w:val="000000" w:themeColor="text1"/>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Pr="00E24EE7">
        <w:rPr>
          <w:rFonts w:ascii="Times New Roman" w:eastAsiaTheme="minorHAnsi" w:hAnsi="Times New Roman"/>
          <w:color w:val="000000" w:themeColor="text1"/>
          <w:lang w:eastAsia="en-US"/>
        </w:rPr>
        <w:t xml:space="preserve">. </w:t>
      </w:r>
      <w:r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Pr="00E24EE7">
        <w:rPr>
          <w:rFonts w:ascii="Times New Roman" w:hAnsi="Times New Roman"/>
          <w:color w:val="000000" w:themeColor="text1"/>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D402B5">
      <w:pPr>
        <w:numPr>
          <w:ilvl w:val="0"/>
          <w:numId w:val="37"/>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30B6C96"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rojekta ostvaruje neto prihod, n</w:t>
      </w:r>
      <w:r w:rsidRPr="00E24EE7">
        <w:rPr>
          <w:rFonts w:ascii="Times New Roman" w:eastAsiaTheme="minorHAnsi" w:hAnsi="Times New Roman"/>
          <w:color w:val="000000" w:themeColor="text1"/>
          <w:lang w:eastAsia="en-US"/>
        </w:rPr>
        <w:t>ositelju projekta će se umanjiti iznos potpore u skladu s odredbama propisanim ovim Natječajem</w:t>
      </w:r>
    </w:p>
    <w:p w14:paraId="7729B220" w14:textId="0C5253F7" w:rsidR="00AC3C9F" w:rsidRPr="00E24EE7" w:rsidRDefault="00062884" w:rsidP="00277C10">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4FB59EE" w14:textId="5C5E6CED" w:rsidR="00062884" w:rsidRPr="00E24EE7" w:rsidRDefault="00062884" w:rsidP="00D43C74">
            <w:pPr>
              <w:pStyle w:val="t-9-8"/>
              <w:spacing w:before="0" w:beforeAutospacing="0" w:after="0"/>
              <w:jc w:val="both"/>
              <w:rPr>
                <w:noProof/>
                <w:color w:val="000000" w:themeColor="text1"/>
                <w:lang w:val="hr-HR"/>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6C367340" w14:textId="0AF68A1D"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 xml:space="preserve"> </w:t>
      </w:r>
      <w:bookmarkStart w:id="46" w:name="_Toc505958388"/>
      <w:bookmarkStart w:id="47" w:name="_Toc120174283"/>
      <w:r w:rsidR="00787794" w:rsidRPr="00E24EE7">
        <w:rPr>
          <w:rFonts w:ascii="Times New Roman" w:hAnsi="Times New Roman" w:cs="Times New Roman"/>
          <w:b/>
          <w:color w:val="000000" w:themeColor="text1"/>
          <w:sz w:val="24"/>
          <w:szCs w:val="24"/>
        </w:rPr>
        <w:t>Prihvatljiv</w:t>
      </w:r>
      <w:bookmarkEnd w:id="46"/>
      <w:r w:rsidR="00E00873" w:rsidRPr="00E24EE7">
        <w:rPr>
          <w:rFonts w:ascii="Times New Roman" w:hAnsi="Times New Roman" w:cs="Times New Roman"/>
          <w:b/>
          <w:color w:val="000000" w:themeColor="text1"/>
          <w:sz w:val="24"/>
          <w:szCs w:val="24"/>
        </w:rPr>
        <w:t>ost troškova</w:t>
      </w:r>
      <w:bookmarkEnd w:id="47"/>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8A3502">
      <w:pPr>
        <w:pStyle w:val="Odlomakpopisa"/>
        <w:numPr>
          <w:ilvl w:val="0"/>
          <w:numId w:val="27"/>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1AEF3B0B" w:rsidR="0064508F"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stvarnost nastanka kod nositelja projekta</w:t>
      </w:r>
    </w:p>
    <w:p w14:paraId="1CE5240D" w14:textId="1C0B7E96" w:rsidR="00DB6670"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izvršenje plaćanja nositelja projekta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311E70FF"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w:t>
      </w:r>
      <w:r w:rsidR="00BC4614">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F788F">
        <w:rPr>
          <w:rFonts w:ascii="Times New Roman" w:hAnsi="Times New Roman" w:cs="Times New Roman"/>
          <w:color w:val="000000" w:themeColor="text1"/>
          <w:sz w:val="24"/>
          <w:szCs w:val="24"/>
        </w:rPr>
        <w:t>nositelji projekta</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3F8D2B47"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nositelji projekta</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5247E525"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25FD75B9" w14:textId="54FA264A" w:rsidR="00F47912" w:rsidRPr="00E24EE7" w:rsidRDefault="00F47912" w:rsidP="005D0FA7">
      <w:pPr>
        <w:jc w:val="both"/>
        <w:rPr>
          <w:rFonts w:ascii="Times New Roman" w:hAnsi="Times New Roman" w:cs="Times New Roman"/>
          <w:color w:val="000000" w:themeColor="text1"/>
          <w:sz w:val="24"/>
          <w:szCs w:val="24"/>
        </w:rPr>
      </w:pP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074DDB9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u: PDV) u slučaju da je nositelj projekta</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troškovi vezani uz ugovor o zakupu ili najmu, kao što su zakupnina i najamnina, troškovi refinanciranja kamata, režijski i operativni troškovi, troškovi osiguranja</w:t>
      </w:r>
    </w:p>
    <w:p w14:paraId="238AB171" w14:textId="1AD0ED0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41000C37" w:rsidR="00153418"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aposlenih djelatnika nositelja projekta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0F4779">
      <w:pPr>
        <w:numPr>
          <w:ilvl w:val="0"/>
          <w:numId w:val="36"/>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120174284"/>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2"/>
      <w:bookmarkEnd w:id="63"/>
    </w:p>
    <w:p w14:paraId="6D700888" w14:textId="5B69597F" w:rsidR="00A57DBD" w:rsidRPr="00E24EE7" w:rsidRDefault="00A57DBD" w:rsidP="00A57DBD">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25E88B21" w:rsidR="00C4487B" w:rsidRPr="00E24EE7" w:rsidRDefault="00C4487B" w:rsidP="0044531B">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Nositelju projekta </w:t>
      </w:r>
      <w:r w:rsidRPr="00E24EE7">
        <w:rPr>
          <w:rFonts w:ascii="Times New Roman" w:eastAsia="Times New Roman" w:hAnsi="Times New Roman" w:cs="Times New Roman"/>
          <w:b/>
          <w:color w:val="000000" w:themeColor="text1"/>
          <w:sz w:val="24"/>
          <w:szCs w:val="24"/>
          <w:u w:val="single"/>
        </w:rPr>
        <w:t xml:space="preserve">ne može </w:t>
      </w:r>
      <w:r w:rsidR="00FC2A6D" w:rsidRPr="00E24EE7">
        <w:rPr>
          <w:rFonts w:ascii="Times New Roman" w:eastAsia="Times New Roman" w:hAnsi="Times New Roman" w:cs="Times New Roman"/>
          <w:b/>
          <w:color w:val="000000" w:themeColor="text1"/>
          <w:sz w:val="24"/>
          <w:szCs w:val="24"/>
          <w:u w:val="single"/>
        </w:rPr>
        <w:t xml:space="preserve">se </w:t>
      </w:r>
      <w:r w:rsidRPr="00E24EE7">
        <w:rPr>
          <w:rFonts w:ascii="Times New Roman" w:eastAsia="Times New Roman" w:hAnsi="Times New Roman" w:cs="Times New Roman"/>
          <w:b/>
          <w:color w:val="000000" w:themeColor="text1"/>
          <w:sz w:val="24"/>
          <w:szCs w:val="24"/>
          <w:u w:val="single"/>
        </w:rPr>
        <w:t>dodijeliti veći iznos bodova</w:t>
      </w:r>
      <w:r w:rsidRPr="00E24EE7">
        <w:rPr>
          <w:rFonts w:ascii="Times New Roman" w:eastAsia="Times New Roman" w:hAnsi="Times New Roman" w:cs="Times New Roman"/>
          <w:color w:val="000000" w:themeColor="text1"/>
          <w:sz w:val="24"/>
          <w:szCs w:val="24"/>
        </w:rPr>
        <w:t xml:space="preserve"> u odnosu od onog što je zatraženo u </w:t>
      </w:r>
      <w:r w:rsidRPr="00E24EE7">
        <w:rPr>
          <w:rFonts w:ascii="Times New Roman" w:eastAsia="Times New Roman" w:hAnsi="Times New Roman" w:cs="Times New Roman"/>
          <w:b/>
          <w:color w:val="000000" w:themeColor="text1"/>
          <w:sz w:val="24"/>
          <w:szCs w:val="24"/>
        </w:rPr>
        <w:t>prijavnom obrascu</w:t>
      </w:r>
      <w:r w:rsidR="00B22083">
        <w:rPr>
          <w:rFonts w:ascii="Times New Roman" w:eastAsia="Times New Roman" w:hAnsi="Times New Roman" w:cs="Times New Roman"/>
          <w:b/>
          <w:color w:val="000000" w:themeColor="text1"/>
          <w:sz w:val="24"/>
          <w:szCs w:val="24"/>
        </w:rPr>
        <w:t xml:space="preserve"> </w:t>
      </w:r>
      <w:r w:rsidR="00B22083" w:rsidRPr="00B22083">
        <w:rPr>
          <w:rFonts w:ascii="Times New Roman" w:eastAsia="Times New Roman" w:hAnsi="Times New Roman" w:cs="Times New Roman"/>
          <w:bCs/>
          <w:color w:val="000000" w:themeColor="text1"/>
          <w:sz w:val="24"/>
          <w:szCs w:val="24"/>
        </w:rPr>
        <w:t>iz priloga ovog Natječaja</w:t>
      </w:r>
      <w:r w:rsidRPr="00E24EE7">
        <w:rPr>
          <w:rFonts w:ascii="Times New Roman" w:eastAsia="Times New Roman" w:hAnsi="Times New Roman" w:cs="Times New Roman"/>
          <w:color w:val="000000" w:themeColor="text1"/>
          <w:sz w:val="24"/>
          <w:szCs w:val="24"/>
        </w:rPr>
        <w:t>.</w:t>
      </w:r>
    </w:p>
    <w:p w14:paraId="4B062BF5" w14:textId="47EB437A" w:rsidR="00351CCB" w:rsidRDefault="00C10EDC" w:rsidP="0044531B">
      <w:pPr>
        <w:shd w:val="clear" w:color="auto" w:fill="FFFFFF"/>
        <w:spacing w:before="120"/>
        <w:jc w:val="both"/>
        <w:rPr>
          <w:rFonts w:ascii="Times New Roman" w:hAnsi="Times New Roman" w:cs="Times New Roman"/>
          <w:color w:val="000000" w:themeColor="text1"/>
          <w:sz w:val="24"/>
          <w:szCs w:val="24"/>
        </w:rPr>
      </w:pPr>
      <w:bookmarkStart w:id="64" w:name="_Toc450901563"/>
      <w:bookmarkStart w:id="65"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p w14:paraId="0526B30E" w14:textId="4EEE3EF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Prednost na rang listi imaju prijave projekata s ostvarenim većim brojem bodova, provjerenim i dodijeljenim od strane LAG-a „VINODOL“, u skladu s Prilogom IX ovog Natječaja.</w:t>
      </w:r>
    </w:p>
    <w:p w14:paraId="24F2F95A" w14:textId="33947C3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slučaju da dvije ili više prijava projekata imaju isti broj bodova prednost na rang listi će se odrediti po sljedećem r</w:t>
      </w:r>
      <w:r w:rsidR="00EB1FDA">
        <w:rPr>
          <w:rFonts w:ascii="Times New Roman" w:hAnsi="Times New Roman" w:cs="Times New Roman"/>
          <w:color w:val="000000" w:themeColor="text1"/>
          <w:sz w:val="24"/>
          <w:szCs w:val="24"/>
        </w:rPr>
        <w:t>edoslijedu</w:t>
      </w:r>
      <w:r>
        <w:rPr>
          <w:rFonts w:ascii="Times New Roman" w:hAnsi="Times New Roman" w:cs="Times New Roman"/>
          <w:color w:val="000000" w:themeColor="text1"/>
          <w:sz w:val="24"/>
          <w:szCs w:val="24"/>
        </w:rPr>
        <w:t>:</w:t>
      </w:r>
    </w:p>
    <w:p w14:paraId="63AA2B0D" w14:textId="77777777"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koji više doprinose razvoju područja i ciljevima utvrđenim u LRS LAG-a „VINODOL“</w:t>
      </w:r>
    </w:p>
    <w:p w14:paraId="25C7C3C1" w14:textId="33B2ABA4"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s ranijim datumom i vremenom podnošenja potpune</w:t>
      </w:r>
      <w:r w:rsidR="00EB1FDA">
        <w:rPr>
          <w:rStyle w:val="Referencafusnote"/>
          <w:rFonts w:ascii="Times New Roman" w:hAnsi="Times New Roman"/>
          <w:color w:val="000000" w:themeColor="text1"/>
          <w:sz w:val="24"/>
          <w:szCs w:val="24"/>
        </w:rPr>
        <w:footnoteReference w:id="5"/>
      </w:r>
      <w:r>
        <w:rPr>
          <w:rFonts w:ascii="Times New Roman" w:hAnsi="Times New Roman" w:cs="Times New Roman"/>
          <w:color w:val="000000" w:themeColor="text1"/>
          <w:sz w:val="24"/>
          <w:szCs w:val="24"/>
        </w:rPr>
        <w:t xml:space="preserve"> prijave projekata.</w:t>
      </w:r>
    </w:p>
    <w:p w14:paraId="40016B9F" w14:textId="77777777" w:rsidR="00352A2D" w:rsidRDefault="00352A2D" w:rsidP="00352A2D">
      <w:pPr>
        <w:shd w:val="clear" w:color="auto" w:fill="FFFFFF"/>
        <w:spacing w:before="120"/>
        <w:jc w:val="both"/>
        <w:rPr>
          <w:rFonts w:ascii="Times New Roman" w:hAnsi="Times New Roman" w:cs="Times New Roman"/>
          <w:color w:val="000000" w:themeColor="text1"/>
          <w:sz w:val="24"/>
          <w:szCs w:val="24"/>
        </w:rPr>
      </w:pPr>
    </w:p>
    <w:p w14:paraId="38742CCB" w14:textId="678B5DF4" w:rsidR="00352A2D" w:rsidRDefault="00352A2D" w:rsidP="00352A2D">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Ako dvije ili više prijava projekata i nakon  takve provjere imaju isti broj bodova te isto vrijeme podnošenja</w:t>
      </w:r>
      <w:r w:rsidR="006F2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dopune/prijave projekta, provest će se postupak izvlačenja slučajnim odabirom u prisutnosti javnog bilježnika.</w:t>
      </w:r>
      <w:r w:rsidRPr="00352A2D">
        <w:rPr>
          <w:rFonts w:ascii="Times New Roman" w:hAnsi="Times New Roman" w:cs="Times New Roman"/>
          <w:color w:val="000000" w:themeColor="text1"/>
          <w:sz w:val="24"/>
          <w:szCs w:val="24"/>
        </w:rPr>
        <w:t xml:space="preserve"> </w:t>
      </w:r>
    </w:p>
    <w:p w14:paraId="68A0574B" w14:textId="77777777" w:rsidR="006F2B1B" w:rsidRPr="00352A2D" w:rsidRDefault="006F2B1B" w:rsidP="00352A2D">
      <w:pPr>
        <w:shd w:val="clear" w:color="auto" w:fill="FFFFFF"/>
        <w:spacing w:before="120"/>
        <w:jc w:val="both"/>
        <w:rPr>
          <w:rFonts w:ascii="Times New Roman" w:hAnsi="Times New Roman" w:cs="Times New Roman"/>
          <w:color w:val="000000" w:themeColor="text1"/>
          <w:sz w:val="24"/>
          <w:szCs w:val="24"/>
        </w:rPr>
      </w:pPr>
    </w:p>
    <w:p w14:paraId="27CE864E" w14:textId="4DC3C422" w:rsidR="00007318" w:rsidRPr="00E24EE7" w:rsidRDefault="00007318" w:rsidP="0044531B">
      <w:pPr>
        <w:shd w:val="clear" w:color="auto" w:fill="FFFFFF"/>
        <w:spacing w:before="120"/>
        <w:jc w:val="both"/>
        <w:rPr>
          <w:rFonts w:ascii="Times New Roman" w:hAnsi="Times New Roman" w:cs="Times New Roman"/>
          <w:color w:val="000000" w:themeColor="text1"/>
          <w:sz w:val="24"/>
          <w:szCs w:val="24"/>
        </w:rPr>
      </w:pPr>
    </w:p>
    <w:p w14:paraId="6FD6A1CB" w14:textId="6CB05290"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A43CAF9" w14:textId="1030775A" w:rsidR="00A36C21" w:rsidRPr="00E24EE7" w:rsidRDefault="003B2179" w:rsidP="00C2710D">
      <w:pPr>
        <w:pStyle w:val="Naslov1"/>
        <w:spacing w:before="0"/>
        <w:ind w:left="431" w:hanging="431"/>
        <w:rPr>
          <w:rFonts w:ascii="Times New Roman" w:hAnsi="Times New Roman" w:cs="Times New Roman"/>
          <w:b/>
          <w:color w:val="000000" w:themeColor="text1"/>
          <w:sz w:val="24"/>
          <w:szCs w:val="24"/>
        </w:rPr>
      </w:pPr>
      <w:bookmarkStart w:id="66" w:name="_Toc505958390"/>
      <w:bookmarkStart w:id="67" w:name="_Toc120174285"/>
      <w:bookmarkEnd w:id="64"/>
      <w:bookmarkEnd w:id="65"/>
      <w:r w:rsidRPr="00E24EE7">
        <w:rPr>
          <w:rFonts w:ascii="Times New Roman" w:hAnsi="Times New Roman" w:cs="Times New Roman"/>
          <w:b/>
          <w:color w:val="000000" w:themeColor="text1"/>
          <w:sz w:val="24"/>
          <w:szCs w:val="24"/>
        </w:rPr>
        <w:lastRenderedPageBreak/>
        <w:t>ADMINISTRATIVNE INFORMACIJE</w:t>
      </w:r>
      <w:bookmarkEnd w:id="66"/>
      <w:bookmarkEnd w:id="67"/>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68" w:name="_Toc505958391"/>
      <w:bookmarkStart w:id="69" w:name="_Toc120174286"/>
      <w:r w:rsidRPr="00E24EE7">
        <w:rPr>
          <w:rFonts w:ascii="Times New Roman" w:hAnsi="Times New Roman" w:cs="Times New Roman"/>
          <w:b/>
          <w:color w:val="000000" w:themeColor="text1"/>
          <w:sz w:val="24"/>
          <w:szCs w:val="24"/>
        </w:rPr>
        <w:t>Podnošenje prijave projekta</w:t>
      </w:r>
      <w:bookmarkEnd w:id="68"/>
      <w:bookmarkEnd w:id="69"/>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E75312C"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w:t>
      </w:r>
      <w:r w:rsidR="00FC54D0">
        <w:rPr>
          <w:rFonts w:ascii="Times New Roman" w:hAnsi="Times New Roman" w:cs="Times New Roman"/>
          <w:color w:val="000000" w:themeColor="text1"/>
          <w:sz w:val="24"/>
          <w:szCs w:val="24"/>
        </w:rPr>
        <w:t xml:space="preserve"> ovog</w:t>
      </w:r>
      <w:r w:rsidRPr="00E24EE7">
        <w:rPr>
          <w:rFonts w:ascii="Times New Roman" w:hAnsi="Times New Roman" w:cs="Times New Roman"/>
          <w:color w:val="000000" w:themeColor="text1"/>
          <w:sz w:val="24"/>
          <w:szCs w:val="24"/>
        </w:rPr>
        <w:t xml:space="preserve">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156918A2"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Prilikom</w:t>
      </w:r>
      <w:r w:rsidR="00711F6C">
        <w:rPr>
          <w:rFonts w:ascii="Times New Roman" w:hAnsi="Times New Roman" w:cs="Times New Roman"/>
          <w:b/>
          <w:color w:val="000000" w:themeColor="text1"/>
          <w:sz w:val="24"/>
          <w:szCs w:val="24"/>
        </w:rPr>
        <w:t xml:space="preserve"> </w:t>
      </w:r>
      <w:r w:rsidRPr="00E24EE7">
        <w:rPr>
          <w:rFonts w:ascii="Times New Roman" w:hAnsi="Times New Roman" w:cs="Times New Roman"/>
          <w:b/>
          <w:color w:val="000000" w:themeColor="text1"/>
          <w:sz w:val="24"/>
          <w:szCs w:val="24"/>
        </w:rPr>
        <w:t>podnošenja prijave projekta nositelj projekta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3978E173" w:rsidR="0003012E" w:rsidRPr="00E24EE7" w:rsidRDefault="003D09F6" w:rsidP="0003012E">
      <w:pPr>
        <w:spacing w:line="276"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w:t>
      </w:r>
      <w:r w:rsidR="00F53ADC"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ta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isključivo preporučenom poštom</w:t>
      </w:r>
      <w:r w:rsidR="001873E3">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od </w:t>
      </w:r>
      <w:r w:rsidR="00711F6C" w:rsidRPr="00711F6C">
        <w:rPr>
          <w:rFonts w:ascii="Times New Roman" w:hAnsi="Times New Roman" w:cs="Times New Roman"/>
          <w:b/>
          <w:bCs/>
          <w:color w:val="000000" w:themeColor="text1"/>
          <w:sz w:val="24"/>
          <w:szCs w:val="24"/>
        </w:rPr>
        <w:t>1</w:t>
      </w:r>
      <w:r w:rsidR="00FD40EC">
        <w:rPr>
          <w:rFonts w:ascii="Times New Roman" w:hAnsi="Times New Roman" w:cs="Times New Roman"/>
          <w:b/>
          <w:bCs/>
          <w:color w:val="000000" w:themeColor="text1"/>
          <w:sz w:val="24"/>
          <w:szCs w:val="24"/>
        </w:rPr>
        <w:t>6</w:t>
      </w:r>
      <w:r w:rsidR="00711F6C" w:rsidRPr="00711F6C">
        <w:rPr>
          <w:rFonts w:ascii="Times New Roman" w:hAnsi="Times New Roman" w:cs="Times New Roman"/>
          <w:b/>
          <w:bCs/>
          <w:color w:val="000000" w:themeColor="text1"/>
          <w:sz w:val="24"/>
          <w:szCs w:val="24"/>
        </w:rPr>
        <w:t>.</w:t>
      </w:r>
      <w:r w:rsidR="00FD40EC">
        <w:rPr>
          <w:rFonts w:ascii="Times New Roman" w:hAnsi="Times New Roman" w:cs="Times New Roman"/>
          <w:b/>
          <w:bCs/>
          <w:color w:val="000000" w:themeColor="text1"/>
          <w:sz w:val="24"/>
          <w:szCs w:val="24"/>
        </w:rPr>
        <w:t>01</w:t>
      </w:r>
      <w:r w:rsidR="00711F6C" w:rsidRPr="00711F6C">
        <w:rPr>
          <w:rFonts w:ascii="Times New Roman" w:hAnsi="Times New Roman" w:cs="Times New Roman"/>
          <w:b/>
          <w:bCs/>
          <w:color w:val="000000" w:themeColor="text1"/>
          <w:sz w:val="24"/>
          <w:szCs w:val="24"/>
        </w:rPr>
        <w:t>.202</w:t>
      </w:r>
      <w:r w:rsidR="00FD40EC">
        <w:rPr>
          <w:rFonts w:ascii="Times New Roman" w:hAnsi="Times New Roman" w:cs="Times New Roman"/>
          <w:b/>
          <w:bCs/>
          <w:color w:val="000000" w:themeColor="text1"/>
          <w:sz w:val="24"/>
          <w:szCs w:val="24"/>
        </w:rPr>
        <w:t>3</w:t>
      </w:r>
      <w:r w:rsidR="00711F6C" w:rsidRPr="00711F6C">
        <w:rPr>
          <w:rFonts w:ascii="Times New Roman" w:hAnsi="Times New Roman" w:cs="Times New Roman"/>
          <w:b/>
          <w:bCs/>
          <w:color w:val="000000" w:themeColor="text1"/>
          <w:sz w:val="24"/>
          <w:szCs w:val="24"/>
        </w:rPr>
        <w:t>.</w:t>
      </w:r>
      <w:r w:rsidR="00711F6C" w:rsidRPr="00711F6C">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a najkasnije do</w:t>
      </w:r>
      <w:r w:rsidR="00711F6C">
        <w:rPr>
          <w:rFonts w:ascii="Times New Roman" w:hAnsi="Times New Roman" w:cs="Times New Roman"/>
          <w:color w:val="000000" w:themeColor="text1"/>
          <w:sz w:val="24"/>
          <w:szCs w:val="24"/>
        </w:rPr>
        <w:t xml:space="preserve"> </w:t>
      </w:r>
      <w:r w:rsidR="006F5EC4">
        <w:rPr>
          <w:rFonts w:ascii="Times New Roman" w:hAnsi="Times New Roman" w:cs="Times New Roman"/>
          <w:b/>
          <w:bCs/>
          <w:color w:val="000000" w:themeColor="text1"/>
          <w:sz w:val="24"/>
          <w:szCs w:val="24"/>
        </w:rPr>
        <w:t>31</w:t>
      </w:r>
      <w:r w:rsidR="00711F6C" w:rsidRPr="00711F6C">
        <w:rPr>
          <w:rFonts w:ascii="Times New Roman" w:hAnsi="Times New Roman" w:cs="Times New Roman"/>
          <w:b/>
          <w:bCs/>
          <w:color w:val="000000" w:themeColor="text1"/>
          <w:sz w:val="24"/>
          <w:szCs w:val="24"/>
        </w:rPr>
        <w:t>.0</w:t>
      </w:r>
      <w:r w:rsidR="006F5EC4">
        <w:rPr>
          <w:rFonts w:ascii="Times New Roman" w:hAnsi="Times New Roman" w:cs="Times New Roman"/>
          <w:b/>
          <w:bCs/>
          <w:color w:val="000000" w:themeColor="text1"/>
          <w:sz w:val="24"/>
          <w:szCs w:val="24"/>
        </w:rPr>
        <w:t>3</w:t>
      </w:r>
      <w:r w:rsidR="00711F6C" w:rsidRPr="00711F6C">
        <w:rPr>
          <w:rFonts w:ascii="Times New Roman" w:hAnsi="Times New Roman" w:cs="Times New Roman"/>
          <w:b/>
          <w:bCs/>
          <w:color w:val="000000" w:themeColor="text1"/>
          <w:sz w:val="24"/>
          <w:szCs w:val="24"/>
        </w:rPr>
        <w:t>.2023.</w:t>
      </w:r>
      <w:r w:rsidRPr="00E24EE7">
        <w:rPr>
          <w:rFonts w:ascii="Times New Roman" w:hAnsi="Times New Roman" w:cs="Times New Roman"/>
          <w:color w:val="000000" w:themeColor="text1"/>
          <w:sz w:val="24"/>
          <w:szCs w:val="24"/>
        </w:rPr>
        <w:t xml:space="preserve"> </w:t>
      </w:r>
      <w:r w:rsidR="0003012E" w:rsidRPr="00E24EE7">
        <w:rPr>
          <w:rFonts w:ascii="Times New Roman" w:hAnsi="Times New Roman" w:cs="Times New Roman"/>
          <w:color w:val="000000" w:themeColor="text1"/>
          <w:sz w:val="24"/>
          <w:szCs w:val="24"/>
        </w:rPr>
        <w:t>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1D8388C1" w14:textId="63782253" w:rsidR="006D135A" w:rsidRPr="001873E3" w:rsidRDefault="0003012E" w:rsidP="0022066F">
      <w:pPr>
        <w:spacing w:line="276" w:lineRule="auto"/>
        <w:jc w:val="center"/>
        <w:rPr>
          <w:rFonts w:ascii="Times New Roman" w:hAnsi="Times New Roman" w:cs="Times New Roman"/>
          <w:b/>
          <w:bCs/>
          <w:color w:val="000000" w:themeColor="text1"/>
          <w:sz w:val="24"/>
          <w:szCs w:val="24"/>
        </w:rPr>
      </w:pPr>
      <w:r w:rsidRPr="00E24EE7">
        <w:rPr>
          <w:rFonts w:ascii="Times New Roman" w:hAnsi="Times New Roman" w:cs="Times New Roman"/>
          <w:color w:val="000000" w:themeColor="text1"/>
          <w:sz w:val="24"/>
          <w:szCs w:val="24"/>
        </w:rPr>
        <w:t xml:space="preserve"> </w:t>
      </w:r>
      <w:r w:rsidRPr="001873E3">
        <w:rPr>
          <w:rFonts w:ascii="Times New Roman" w:hAnsi="Times New Roman" w:cs="Times New Roman"/>
          <w:b/>
          <w:bCs/>
          <w:color w:val="000000" w:themeColor="text1"/>
          <w:sz w:val="24"/>
          <w:szCs w:val="24"/>
        </w:rPr>
        <w:t>LAG</w:t>
      </w:r>
      <w:r w:rsidR="001873E3" w:rsidRPr="001873E3">
        <w:rPr>
          <w:rFonts w:ascii="Times New Roman" w:hAnsi="Times New Roman" w:cs="Times New Roman"/>
          <w:b/>
          <w:bCs/>
          <w:color w:val="000000" w:themeColor="text1"/>
          <w:sz w:val="24"/>
          <w:szCs w:val="24"/>
        </w:rPr>
        <w:t xml:space="preserve"> „VINODOL“</w:t>
      </w:r>
    </w:p>
    <w:p w14:paraId="12C9B5AD" w14:textId="67C7D927" w:rsidR="001873E3" w:rsidRPr="001873E3" w:rsidRDefault="001873E3" w:rsidP="0022066F">
      <w:pPr>
        <w:spacing w:line="276" w:lineRule="auto"/>
        <w:jc w:val="center"/>
        <w:rPr>
          <w:rFonts w:ascii="Times New Roman" w:hAnsi="Times New Roman" w:cs="Times New Roman"/>
          <w:b/>
          <w:bCs/>
          <w:color w:val="000000" w:themeColor="text1"/>
          <w:sz w:val="24"/>
          <w:szCs w:val="24"/>
        </w:rPr>
      </w:pPr>
      <w:r w:rsidRPr="001873E3">
        <w:rPr>
          <w:rFonts w:ascii="Times New Roman" w:hAnsi="Times New Roman" w:cs="Times New Roman"/>
          <w:b/>
          <w:bCs/>
          <w:color w:val="000000" w:themeColor="text1"/>
          <w:sz w:val="24"/>
          <w:szCs w:val="24"/>
        </w:rPr>
        <w:t>Bribir 46a</w:t>
      </w:r>
    </w:p>
    <w:p w14:paraId="78E289ED" w14:textId="07E8F7C4" w:rsidR="001873E3" w:rsidRPr="001873E3" w:rsidRDefault="001873E3" w:rsidP="0022066F">
      <w:pPr>
        <w:spacing w:line="276" w:lineRule="auto"/>
        <w:jc w:val="center"/>
        <w:rPr>
          <w:rFonts w:ascii="Times New Roman" w:hAnsi="Times New Roman" w:cs="Times New Roman"/>
          <w:b/>
          <w:bCs/>
          <w:color w:val="000000" w:themeColor="text1"/>
          <w:sz w:val="24"/>
          <w:szCs w:val="24"/>
          <w:highlight w:val="lightGray"/>
        </w:rPr>
      </w:pPr>
      <w:r w:rsidRPr="001873E3">
        <w:rPr>
          <w:rFonts w:ascii="Times New Roman" w:hAnsi="Times New Roman" w:cs="Times New Roman"/>
          <w:b/>
          <w:bCs/>
          <w:color w:val="000000" w:themeColor="text1"/>
          <w:sz w:val="24"/>
          <w:szCs w:val="24"/>
        </w:rPr>
        <w:t>51253 Bribir</w:t>
      </w:r>
    </w:p>
    <w:p w14:paraId="7BE452F9" w14:textId="77777777" w:rsidR="0003012E" w:rsidRPr="00E24EE7" w:rsidRDefault="0003012E" w:rsidP="0003012E">
      <w:pPr>
        <w:jc w:val="both"/>
        <w:rPr>
          <w:rFonts w:ascii="Times New Roman" w:hAnsi="Times New Roman" w:cs="Times New Roman"/>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67087CA0" w14:textId="5E675C6B" w:rsidR="00CA600D" w:rsidRPr="001873E3" w:rsidRDefault="00CA600D" w:rsidP="001873E3">
      <w:pPr>
        <w:pStyle w:val="Odlomakpopisa"/>
        <w:numPr>
          <w:ilvl w:val="0"/>
          <w:numId w:val="11"/>
        </w:numPr>
        <w:jc w:val="both"/>
        <w:rPr>
          <w:rFonts w:ascii="Times New Roman" w:hAnsi="Times New Roman" w:cs="Times New Roman"/>
          <w:i/>
          <w:iCs/>
          <w:color w:val="000000" w:themeColor="text1"/>
          <w:sz w:val="24"/>
          <w:szCs w:val="24"/>
        </w:rPr>
      </w:pPr>
      <w:r w:rsidRPr="001873E3">
        <w:rPr>
          <w:rFonts w:ascii="Times New Roman" w:hAnsi="Times New Roman" w:cs="Times New Roman"/>
          <w:color w:val="000000" w:themeColor="text1"/>
          <w:sz w:val="24"/>
          <w:szCs w:val="24"/>
          <w:shd w:val="clear" w:color="auto" w:fill="FFFFFF" w:themeFill="background1"/>
        </w:rPr>
        <w:t>naziv</w:t>
      </w:r>
      <w:r w:rsidRPr="001873E3">
        <w:rPr>
          <w:rFonts w:ascii="Times New Roman" w:hAnsi="Times New Roman" w:cs="Times New Roman"/>
          <w:color w:val="000000" w:themeColor="text1"/>
          <w:sz w:val="24"/>
          <w:szCs w:val="24"/>
        </w:rPr>
        <w:t xml:space="preserve"> ovog Natječaja:</w:t>
      </w:r>
      <w:r w:rsidR="001873E3">
        <w:rPr>
          <w:rFonts w:ascii="Times New Roman" w:hAnsi="Times New Roman" w:cs="Times New Roman"/>
          <w:color w:val="000000" w:themeColor="text1"/>
          <w:sz w:val="24"/>
          <w:szCs w:val="24"/>
        </w:rPr>
        <w:t xml:space="preserve"> </w:t>
      </w:r>
      <w:r w:rsidR="001873E3" w:rsidRPr="001873E3">
        <w:rPr>
          <w:rFonts w:ascii="Times New Roman" w:hAnsi="Times New Roman" w:cs="Times New Roman"/>
          <w:i/>
          <w:iCs/>
          <w:color w:val="000000" w:themeColor="text1"/>
          <w:sz w:val="24"/>
          <w:szCs w:val="24"/>
        </w:rPr>
        <w:t>Natječaj za provedbu Mjere 3.1.1. „Pokretanje, poboljšanje ili proširenje lokalnih temeljnih usluga za ruralno stanovništvo“</w:t>
      </w:r>
    </w:p>
    <w:p w14:paraId="568B70A2" w14:textId="30A16583" w:rsidR="00D731DB" w:rsidRPr="00E24EE7" w:rsidRDefault="00CA600D"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nositelja projekta </w:t>
      </w:r>
    </w:p>
    <w:p w14:paraId="73B28DF0" w14:textId="212B854B" w:rsidR="00CA600D" w:rsidRPr="00E24EE7" w:rsidRDefault="00D731DB"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6"/>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2412F89B" w:rsidR="00296A5E" w:rsidRPr="00E24EE7"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nositelja projekta,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excel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154303D1" w14:textId="50F837E4" w:rsidR="0003012E"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p w14:paraId="5D850104" w14:textId="77777777" w:rsidR="00321CAD" w:rsidRPr="00E24EE7" w:rsidRDefault="00321CAD"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lastRenderedPageBreak/>
              <w:t>Napomena:</w:t>
            </w:r>
          </w:p>
          <w:p w14:paraId="5302AA27" w14:textId="2EE376C5"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nositelju projekta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0" w:name="_Toc503373225"/>
      <w:bookmarkStart w:id="71" w:name="_Toc505958392"/>
      <w:bookmarkStart w:id="72" w:name="_Toc120174287"/>
      <w:r w:rsidRPr="00E24EE7">
        <w:rPr>
          <w:rFonts w:ascii="Times New Roman" w:hAnsi="Times New Roman" w:cs="Times New Roman"/>
          <w:b/>
          <w:color w:val="000000" w:themeColor="text1"/>
          <w:sz w:val="24"/>
          <w:szCs w:val="24"/>
        </w:rPr>
        <w:t>Izmjena i/ili ispravak Natječaja</w:t>
      </w:r>
      <w:bookmarkEnd w:id="70"/>
      <w:bookmarkEnd w:id="71"/>
      <w:bookmarkEnd w:id="72"/>
    </w:p>
    <w:p w14:paraId="477E2F14" w14:textId="4C2A7980"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21CAD">
        <w:rPr>
          <w:rFonts w:ascii="Times New Roman" w:hAnsi="Times New Roman" w:cs="Times New Roman"/>
          <w:color w:val="000000" w:themeColor="text1"/>
          <w:sz w:val="24"/>
          <w:szCs w:val="24"/>
        </w:rPr>
        <w:t xml:space="preserve"> </w:t>
      </w:r>
      <w:r w:rsidR="00321CAD" w:rsidRPr="00321CAD">
        <w:rPr>
          <w:rFonts w:ascii="Times New Roman" w:hAnsi="Times New Roman" w:cs="Times New Roman"/>
          <w:b/>
          <w:bCs/>
          <w:color w:val="000000" w:themeColor="text1"/>
          <w:sz w:val="24"/>
          <w:szCs w:val="24"/>
        </w:rPr>
        <w:t>1</w:t>
      </w:r>
      <w:r w:rsidR="00FD40EC">
        <w:rPr>
          <w:rFonts w:ascii="Times New Roman" w:hAnsi="Times New Roman" w:cs="Times New Roman"/>
          <w:b/>
          <w:bCs/>
          <w:color w:val="000000" w:themeColor="text1"/>
          <w:sz w:val="24"/>
          <w:szCs w:val="24"/>
        </w:rPr>
        <w:t>6</w:t>
      </w:r>
      <w:r w:rsidR="00321CAD" w:rsidRPr="00321CAD">
        <w:rPr>
          <w:rFonts w:ascii="Times New Roman" w:hAnsi="Times New Roman" w:cs="Times New Roman"/>
          <w:b/>
          <w:bCs/>
          <w:color w:val="000000" w:themeColor="text1"/>
          <w:sz w:val="24"/>
          <w:szCs w:val="24"/>
        </w:rPr>
        <w:t>.</w:t>
      </w:r>
      <w:r w:rsidR="00FD40EC">
        <w:rPr>
          <w:rFonts w:ascii="Times New Roman" w:hAnsi="Times New Roman" w:cs="Times New Roman"/>
          <w:b/>
          <w:bCs/>
          <w:color w:val="000000" w:themeColor="text1"/>
          <w:sz w:val="24"/>
          <w:szCs w:val="24"/>
        </w:rPr>
        <w:t>01</w:t>
      </w:r>
      <w:r w:rsidR="00321CAD" w:rsidRPr="00321CAD">
        <w:rPr>
          <w:rFonts w:ascii="Times New Roman" w:hAnsi="Times New Roman" w:cs="Times New Roman"/>
          <w:b/>
          <w:bCs/>
          <w:color w:val="000000" w:themeColor="text1"/>
          <w:sz w:val="24"/>
          <w:szCs w:val="24"/>
        </w:rPr>
        <w:t>.202</w:t>
      </w:r>
      <w:r w:rsidR="00FD40EC">
        <w:rPr>
          <w:rFonts w:ascii="Times New Roman" w:hAnsi="Times New Roman" w:cs="Times New Roman"/>
          <w:b/>
          <w:bCs/>
          <w:color w:val="000000" w:themeColor="text1"/>
          <w:sz w:val="24"/>
          <w:szCs w:val="24"/>
        </w:rPr>
        <w:t>3</w:t>
      </w:r>
      <w:r w:rsidR="00321CAD" w:rsidRPr="00321CAD">
        <w:rPr>
          <w:rFonts w:ascii="Times New Roman" w:hAnsi="Times New Roman" w:cs="Times New Roman"/>
          <w:b/>
          <w:bCs/>
          <w:color w:val="000000" w:themeColor="text1"/>
          <w:sz w:val="24"/>
          <w:szCs w:val="24"/>
        </w:rPr>
        <w:t>.</w:t>
      </w:r>
      <w:r w:rsidRPr="00E24EE7">
        <w:rPr>
          <w:rFonts w:ascii="Times New Roman" w:hAnsi="Times New Roman" w:cs="Times New Roman"/>
          <w:color w:val="000000" w:themeColor="text1"/>
          <w:sz w:val="24"/>
          <w:szCs w:val="24"/>
        </w:rPr>
        <w:t xml:space="preserve"> 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00BC77FB">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LAG-a</w:t>
      </w:r>
      <w:r w:rsidR="00BC77FB">
        <w:rPr>
          <w:rFonts w:ascii="Times New Roman" w:hAnsi="Times New Roman" w:cs="Times New Roman"/>
          <w:color w:val="000000" w:themeColor="text1"/>
          <w:sz w:val="24"/>
          <w:szCs w:val="24"/>
        </w:rPr>
        <w:t xml:space="preserve"> „VINODOL“</w:t>
      </w:r>
      <w:r w:rsidRPr="00E24EE7">
        <w:rPr>
          <w:rFonts w:ascii="Times New Roman" w:hAnsi="Times New Roman" w:cs="Times New Roman"/>
          <w:color w:val="000000" w:themeColor="text1"/>
          <w:sz w:val="24"/>
          <w:szCs w:val="24"/>
        </w:rPr>
        <w:t>.</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540CBC93"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Iznimno od gore navedenog, LAG Natječaj je moguće izmijeniti nakon</w:t>
      </w:r>
      <w:r w:rsidR="00321CAD">
        <w:rPr>
          <w:rFonts w:ascii="Times New Roman" w:eastAsia="Calibri" w:hAnsi="Times New Roman" w:cs="Times New Roman"/>
          <w:color w:val="000000" w:themeColor="text1"/>
          <w:sz w:val="24"/>
          <w:szCs w:val="24"/>
        </w:rPr>
        <w:t xml:space="preserve"> </w:t>
      </w:r>
      <w:r w:rsidR="00321CAD" w:rsidRPr="00321CAD">
        <w:rPr>
          <w:rFonts w:ascii="Times New Roman" w:eastAsia="Calibri" w:hAnsi="Times New Roman" w:cs="Times New Roman"/>
          <w:b/>
          <w:bCs/>
          <w:color w:val="000000" w:themeColor="text1"/>
          <w:sz w:val="24"/>
          <w:szCs w:val="24"/>
        </w:rPr>
        <w:t>1</w:t>
      </w:r>
      <w:r w:rsidR="00FD40EC">
        <w:rPr>
          <w:rFonts w:ascii="Times New Roman" w:eastAsia="Calibri" w:hAnsi="Times New Roman" w:cs="Times New Roman"/>
          <w:b/>
          <w:bCs/>
          <w:color w:val="000000" w:themeColor="text1"/>
          <w:sz w:val="24"/>
          <w:szCs w:val="24"/>
        </w:rPr>
        <w:t>6</w:t>
      </w:r>
      <w:r w:rsidR="00321CAD" w:rsidRPr="00321CAD">
        <w:rPr>
          <w:rFonts w:ascii="Times New Roman" w:eastAsia="Calibri" w:hAnsi="Times New Roman" w:cs="Times New Roman"/>
          <w:b/>
          <w:bCs/>
          <w:color w:val="000000" w:themeColor="text1"/>
          <w:sz w:val="24"/>
          <w:szCs w:val="24"/>
        </w:rPr>
        <w:t>.</w:t>
      </w:r>
      <w:r w:rsidR="00FD40EC">
        <w:rPr>
          <w:rFonts w:ascii="Times New Roman" w:eastAsia="Calibri" w:hAnsi="Times New Roman" w:cs="Times New Roman"/>
          <w:b/>
          <w:bCs/>
          <w:color w:val="000000" w:themeColor="text1"/>
          <w:sz w:val="24"/>
          <w:szCs w:val="24"/>
        </w:rPr>
        <w:t>01</w:t>
      </w:r>
      <w:r w:rsidR="00321CAD" w:rsidRPr="00321CAD">
        <w:rPr>
          <w:rFonts w:ascii="Times New Roman" w:eastAsia="Calibri" w:hAnsi="Times New Roman" w:cs="Times New Roman"/>
          <w:b/>
          <w:bCs/>
          <w:color w:val="000000" w:themeColor="text1"/>
          <w:sz w:val="24"/>
          <w:szCs w:val="24"/>
        </w:rPr>
        <w:t>.202</w:t>
      </w:r>
      <w:r w:rsidR="00FD40EC">
        <w:rPr>
          <w:rFonts w:ascii="Times New Roman" w:eastAsia="Calibri" w:hAnsi="Times New Roman" w:cs="Times New Roman"/>
          <w:b/>
          <w:bCs/>
          <w:color w:val="000000" w:themeColor="text1"/>
          <w:sz w:val="24"/>
          <w:szCs w:val="24"/>
        </w:rPr>
        <w:t>3</w:t>
      </w:r>
      <w:r w:rsidR="00321CAD" w:rsidRPr="00321CAD">
        <w:rPr>
          <w:rFonts w:ascii="Times New Roman" w:eastAsia="Calibri" w:hAnsi="Times New Roman" w:cs="Times New Roman"/>
          <w:b/>
          <w:bCs/>
          <w:color w:val="000000" w:themeColor="text1"/>
          <w:sz w:val="24"/>
          <w:szCs w:val="24"/>
        </w:rPr>
        <w:t>.</w:t>
      </w:r>
      <w:r w:rsidRPr="00E24EE7">
        <w:rPr>
          <w:rFonts w:ascii="Times New Roman" w:eastAsia="Calibri" w:hAnsi="Times New Roman" w:cs="Times New Roman"/>
          <w:color w:val="000000" w:themeColor="text1"/>
          <w:sz w:val="24"/>
          <w:szCs w:val="24"/>
        </w:rPr>
        <w:t xml:space="preserve">, u sljedećim slučajevima: </w:t>
      </w:r>
    </w:p>
    <w:p w14:paraId="46FE2C36" w14:textId="76A01120"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raspoloživih sredstava</w:t>
      </w:r>
      <w:r w:rsidR="009D0005">
        <w:rPr>
          <w:rFonts w:ascii="Times New Roman" w:eastAsia="Calibri" w:hAnsi="Times New Roman" w:cs="Times New Roman"/>
          <w:color w:val="000000" w:themeColor="text1"/>
          <w:sz w:val="24"/>
          <w:szCs w:val="24"/>
        </w:rPr>
        <w:t xml:space="preserve"> </w:t>
      </w:r>
      <w:r w:rsidR="0017432A">
        <w:rPr>
          <w:rFonts w:ascii="Times New Roman" w:eastAsia="Calibri" w:hAnsi="Times New Roman" w:cs="Times New Roman"/>
          <w:color w:val="000000" w:themeColor="text1"/>
          <w:sz w:val="24"/>
          <w:szCs w:val="24"/>
        </w:rPr>
        <w:t>predviđenih u okviru ovog</w:t>
      </w:r>
      <w:r w:rsidRPr="00E24EE7">
        <w:rPr>
          <w:rFonts w:ascii="Times New Roman" w:eastAsia="Calibri" w:hAnsi="Times New Roman" w:cs="Times New Roman"/>
          <w:color w:val="000000" w:themeColor="text1"/>
          <w:sz w:val="24"/>
          <w:szCs w:val="24"/>
        </w:rPr>
        <w:t xml:space="preserve"> LAG Natječaja, najkasnije do dana početka izdavanja odluka</w:t>
      </w:r>
    </w:p>
    <w:p w14:paraId="1FF2EB6F" w14:textId="11003138"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krajnjeg roka za podnošenje prijava projekata, najkasnije do krajnjeg roka za podnošenje prijava projekata</w:t>
      </w:r>
    </w:p>
    <w:p w14:paraId="453ED6AB" w14:textId="236FF17A"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ispravk</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3" w:name="_Toc120174288"/>
      <w:r w:rsidRPr="00E24EE7">
        <w:rPr>
          <w:rFonts w:ascii="Times New Roman" w:hAnsi="Times New Roman" w:cs="Times New Roman"/>
          <w:b/>
          <w:color w:val="000000" w:themeColor="text1"/>
          <w:sz w:val="24"/>
          <w:szCs w:val="24"/>
        </w:rPr>
        <w:t>Poništenje Natječaja</w:t>
      </w:r>
      <w:bookmarkEnd w:id="73"/>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se utvrdi da se na bilo koji način ugrožava načelo jednakog postupanja i/ili načelo zabrane diskriminacije</w:t>
      </w:r>
    </w:p>
    <w:p w14:paraId="2B9F3590" w14:textId="2F2B3C0A" w:rsidR="004F34C3" w:rsidRPr="00E24EE7"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106488C4"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w:t>
      </w:r>
      <w:r w:rsidR="00A306EF">
        <w:rPr>
          <w:rFonts w:ascii="Times New Roman" w:hAnsi="Times New Roman" w:cs="Times New Roman"/>
          <w:color w:val="000000" w:themeColor="text1"/>
          <w:sz w:val="24"/>
          <w:szCs w:val="24"/>
        </w:rPr>
        <w:t xml:space="preserve"> </w:t>
      </w:r>
      <w:r w:rsidR="004F34C3" w:rsidRPr="00E24EE7">
        <w:rPr>
          <w:rFonts w:ascii="Times New Roman" w:hAnsi="Times New Roman" w:cs="Times New Roman"/>
          <w:color w:val="000000" w:themeColor="text1"/>
          <w:sz w:val="24"/>
          <w:szCs w:val="24"/>
        </w:rPr>
        <w:t>LAG-a</w:t>
      </w:r>
      <w:r w:rsidR="00A306EF">
        <w:rPr>
          <w:rFonts w:ascii="Times New Roman" w:hAnsi="Times New Roman" w:cs="Times New Roman"/>
          <w:color w:val="000000" w:themeColor="text1"/>
          <w:sz w:val="24"/>
          <w:szCs w:val="24"/>
        </w:rPr>
        <w:t xml:space="preserve"> „VINODOL“</w:t>
      </w:r>
      <w:r w:rsidR="004F34C3" w:rsidRPr="00E24EE7">
        <w:rPr>
          <w:rFonts w:ascii="Times New Roman" w:hAnsi="Times New Roman" w:cs="Times New Roman"/>
          <w:color w:val="000000" w:themeColor="text1"/>
          <w:sz w:val="24"/>
          <w:szCs w:val="24"/>
        </w:rPr>
        <w:t>.</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4" w:name="_Toc505958393"/>
      <w:bookmarkStart w:id="75" w:name="_Toc120174289"/>
      <w:r w:rsidRPr="00E24EE7">
        <w:rPr>
          <w:rFonts w:ascii="Times New Roman" w:hAnsi="Times New Roman" w:cs="Times New Roman"/>
          <w:b/>
          <w:color w:val="000000" w:themeColor="text1"/>
          <w:sz w:val="24"/>
          <w:szCs w:val="24"/>
        </w:rPr>
        <w:t>Pitanja i odgovori te objava rezultata Natječaja</w:t>
      </w:r>
      <w:bookmarkEnd w:id="74"/>
      <w:bookmarkEnd w:id="75"/>
    </w:p>
    <w:p w14:paraId="36AE9121" w14:textId="08797019"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Pitanja s jasno naznačenom referencom na ovaj Natječaj moguće je poslati od dana objave</w:t>
      </w:r>
      <w:r w:rsidR="00E96BBA">
        <w:rPr>
          <w:rFonts w:ascii="Times New Roman" w:eastAsia="Calibri" w:hAnsi="Times New Roman" w:cs="Times New Roman"/>
          <w:color w:val="000000" w:themeColor="text1"/>
          <w:sz w:val="24"/>
          <w:szCs w:val="24"/>
        </w:rPr>
        <w:t xml:space="preserve"> ovog </w:t>
      </w:r>
      <w:r w:rsidRPr="00E24EE7">
        <w:rPr>
          <w:rFonts w:ascii="Times New Roman" w:eastAsia="Calibri" w:hAnsi="Times New Roman" w:cs="Times New Roman"/>
          <w:color w:val="000000" w:themeColor="text1"/>
          <w:sz w:val="24"/>
          <w:szCs w:val="24"/>
        </w:rPr>
        <w:t xml:space="preserve">natječaja do najkasnije 15 dana prije isteka roka za podnošenje prijava projekata isključivo putem e-pošte </w:t>
      </w:r>
      <w:r w:rsidR="0040187D">
        <w:rPr>
          <w:rFonts w:ascii="Times New Roman" w:eastAsia="Calibri" w:hAnsi="Times New Roman" w:cs="Times New Roman"/>
          <w:color w:val="000000" w:themeColor="text1"/>
          <w:sz w:val="24"/>
          <w:szCs w:val="24"/>
        </w:rPr>
        <w:t xml:space="preserve">na </w:t>
      </w:r>
      <w:r w:rsidRPr="00E24EE7">
        <w:rPr>
          <w:rFonts w:ascii="Times New Roman" w:eastAsia="Calibri" w:hAnsi="Times New Roman" w:cs="Times New Roman"/>
          <w:color w:val="000000" w:themeColor="text1"/>
          <w:sz w:val="24"/>
          <w:szCs w:val="24"/>
        </w:rPr>
        <w:t>adresu:</w:t>
      </w:r>
      <w:r w:rsidR="0040187D">
        <w:rPr>
          <w:rFonts w:ascii="Times New Roman" w:eastAsia="Calibri" w:hAnsi="Times New Roman" w:cs="Times New Roman"/>
          <w:color w:val="000000" w:themeColor="text1"/>
          <w:sz w:val="24"/>
          <w:szCs w:val="24"/>
        </w:rPr>
        <w:t xml:space="preserve"> </w:t>
      </w:r>
      <w:hyperlink r:id="rId14" w:history="1">
        <w:r w:rsidR="0040187D" w:rsidRPr="00321868">
          <w:rPr>
            <w:rStyle w:val="Hiperveza"/>
            <w:rFonts w:ascii="Times New Roman" w:eastAsia="Calibri" w:hAnsi="Times New Roman" w:cs="Times New Roman"/>
            <w:sz w:val="24"/>
            <w:szCs w:val="24"/>
          </w:rPr>
          <w:t>lag.vinodol@gmail.com</w:t>
        </w:r>
      </w:hyperlink>
      <w:r w:rsidR="0040187D">
        <w:rPr>
          <w:rFonts w:ascii="Times New Roman" w:eastAsia="Calibri" w:hAnsi="Times New Roman" w:cs="Times New Roman"/>
          <w:color w:val="000000" w:themeColor="text1"/>
          <w:sz w:val="24"/>
          <w:szCs w:val="24"/>
        </w:rPr>
        <w:t xml:space="preserve"> </w:t>
      </w:r>
      <w:r w:rsidRPr="00E24EE7">
        <w:rPr>
          <w:rFonts w:ascii="Calibri" w:eastAsia="Calibri" w:hAnsi="Calibri" w:cs="Times New Roman"/>
          <w:color w:val="000000" w:themeColor="text1"/>
          <w:sz w:val="24"/>
          <w:szCs w:val="24"/>
        </w:rPr>
        <w:t>.</w:t>
      </w:r>
      <w:r w:rsidR="00BF1321" w:rsidRPr="00BF1321">
        <w:rPr>
          <w:rFonts w:ascii="Times New Roman" w:eastAsia="Calibri" w:hAnsi="Times New Roman" w:cs="Times New Roman"/>
          <w:color w:val="000000" w:themeColor="text1"/>
          <w:sz w:val="24"/>
          <w:szCs w:val="24"/>
        </w:rPr>
        <w:t xml:space="preserve">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403C22B5"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S ciljem jednakog tretmana,</w:t>
      </w:r>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LAG</w:t>
      </w:r>
      <w:r w:rsidR="0040187D">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ne može davati prethodno mišljenje vezano uz prihvatljivost nositelja projekta, </w:t>
      </w:r>
      <w:r w:rsidR="0040187D">
        <w:rPr>
          <w:rFonts w:ascii="Times New Roman" w:eastAsia="Calibri" w:hAnsi="Times New Roman" w:cs="Times New Roman"/>
          <w:color w:val="000000" w:themeColor="text1"/>
          <w:sz w:val="24"/>
          <w:szCs w:val="24"/>
        </w:rPr>
        <w:t xml:space="preserve">samog </w:t>
      </w:r>
      <w:r w:rsidRPr="00E24EE7">
        <w:rPr>
          <w:rFonts w:ascii="Times New Roman" w:eastAsia="Calibri" w:hAnsi="Times New Roman" w:cs="Times New Roman"/>
          <w:color w:val="000000" w:themeColor="text1"/>
          <w:sz w:val="24"/>
          <w:szCs w:val="24"/>
        </w:rPr>
        <w:t>projekta ili određenih aktivnosti</w:t>
      </w:r>
      <w:r w:rsidR="0040187D">
        <w:rPr>
          <w:rFonts w:ascii="Times New Roman" w:eastAsia="Calibri" w:hAnsi="Times New Roman" w:cs="Times New Roman"/>
          <w:color w:val="000000" w:themeColor="text1"/>
          <w:sz w:val="24"/>
          <w:szCs w:val="24"/>
        </w:rPr>
        <w:t xml:space="preserve"> projekta</w:t>
      </w:r>
      <w:r w:rsidRPr="00E24EE7">
        <w:rPr>
          <w:rFonts w:ascii="Times New Roman" w:eastAsia="Calibri" w:hAnsi="Times New Roman" w:cs="Times New Roman"/>
          <w:color w:val="000000" w:themeColor="text1"/>
          <w:sz w:val="24"/>
          <w:szCs w:val="24"/>
        </w:rPr>
        <w:t>.</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62F17AC5"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Odgovori</w:t>
      </w:r>
      <w:r w:rsidR="0040187D">
        <w:rPr>
          <w:rFonts w:ascii="Times New Roman" w:eastAsia="Calibri" w:hAnsi="Times New Roman" w:cs="Times New Roman"/>
          <w:color w:val="000000" w:themeColor="text1"/>
          <w:sz w:val="24"/>
          <w:szCs w:val="24"/>
        </w:rPr>
        <w:t xml:space="preserve"> na postavljena pitanja</w:t>
      </w:r>
      <w:r w:rsidRPr="00E24EE7">
        <w:rPr>
          <w:rFonts w:ascii="Times New Roman" w:eastAsia="Calibri" w:hAnsi="Times New Roman" w:cs="Times New Roman"/>
          <w:color w:val="000000" w:themeColor="text1"/>
          <w:sz w:val="24"/>
          <w:szCs w:val="24"/>
        </w:rPr>
        <w:t xml:space="preserve"> će se objaviti na mrežnoj stranici </w:t>
      </w:r>
      <w:hyperlink r:id="rId15" w:history="1">
        <w:r w:rsidR="0040187D" w:rsidRPr="00321868">
          <w:rPr>
            <w:rStyle w:val="Hiperveza"/>
            <w:rFonts w:ascii="Times New Roman" w:eastAsia="Calibri" w:hAnsi="Times New Roman" w:cs="Times New Roman"/>
            <w:sz w:val="24"/>
            <w:szCs w:val="24"/>
          </w:rPr>
          <w:t>www.lag-vinodol.hr</w:t>
        </w:r>
      </w:hyperlink>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highlight w:val="lightGray"/>
        </w:rPr>
        <w:t xml:space="preserve">   </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7777777"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6"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2B084D62"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Popis projekata koji su odabrani od strane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bit će objavljen na mrežnoj stranici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nositelja projekta</w:t>
      </w:r>
    </w:p>
    <w:p w14:paraId="35F32E56" w14:textId="788D6690"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naziv projekta i njegov kratak opis </w:t>
      </w:r>
    </w:p>
    <w:p w14:paraId="4D456764"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76" w:name="_Toc120174290"/>
      <w:r w:rsidRPr="00E24EE7">
        <w:rPr>
          <w:rFonts w:ascii="Times New Roman" w:hAnsi="Times New Roman" w:cs="Times New Roman"/>
          <w:b/>
          <w:color w:val="000000" w:themeColor="text1"/>
          <w:sz w:val="24"/>
          <w:szCs w:val="24"/>
        </w:rPr>
        <w:t>Zaštita podataka</w:t>
      </w:r>
      <w:bookmarkEnd w:id="76"/>
    </w:p>
    <w:p w14:paraId="1043621B" w14:textId="383E9A12"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vedbe natječaja, obrade prijava projekata nositelja projekata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77" w:name="_Toc505958395"/>
      <w:bookmarkStart w:id="78" w:name="_Toc120174291"/>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77"/>
      <w:bookmarkEnd w:id="78"/>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79" w:name="_Toc505958396"/>
      <w:bookmarkStart w:id="80" w:name="_Toc120174292"/>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79"/>
      <w:bookmarkEnd w:id="80"/>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118C47D2"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r w:rsidR="003015EB">
        <w:rPr>
          <w:rFonts w:ascii="Times New Roman" w:eastAsiaTheme="minorHAnsi" w:hAnsi="Times New Roman"/>
          <w:b/>
          <w:color w:val="000000" w:themeColor="text1"/>
          <w:lang w:eastAsia="en-US"/>
        </w:rPr>
        <w:t xml:space="preserve"> „VINODOL“</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600F41CD"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r w:rsidR="003015EB">
        <w:rPr>
          <w:rFonts w:ascii="Times New Roman" w:eastAsiaTheme="minorHAnsi" w:hAnsi="Times New Roman"/>
          <w:b/>
          <w:color w:val="000000" w:themeColor="text1"/>
          <w:lang w:eastAsia="en-US"/>
        </w:rPr>
        <w:t xml:space="preserve"> „VINODOL“</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22FE0A44" w14:textId="77777777" w:rsidR="003015EB" w:rsidRDefault="003015E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31992EC5" w14:textId="445C4634"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7ACC3BD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Nakon podnošenja prijave projekta nositelj projekta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1A5DD06B" w14:textId="77777777" w:rsidR="00BB6AA2" w:rsidRPr="00E24EE7" w:rsidRDefault="00BB6AA2" w:rsidP="0060471B">
      <w:pPr>
        <w:shd w:val="clear" w:color="auto" w:fill="FFFFFF" w:themeFill="background1"/>
        <w:jc w:val="both"/>
        <w:rPr>
          <w:rFonts w:ascii="Times New Roman" w:hAnsi="Times New Roman" w:cs="Times New Roman"/>
          <w:b/>
          <w:color w:val="000000" w:themeColor="text1"/>
          <w:sz w:val="24"/>
          <w:szCs w:val="24"/>
          <w:u w:val="single"/>
        </w:rPr>
      </w:pP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17C71583"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B76FE3">
        <w:rPr>
          <w:rFonts w:ascii="Times New Roman" w:hAnsi="Times New Roman" w:cs="Times New Roman"/>
          <w:b/>
          <w:color w:val="000000" w:themeColor="text1"/>
          <w:sz w:val="24"/>
          <w:szCs w:val="24"/>
          <w:u w:val="single"/>
        </w:rPr>
        <w:t>/</w:t>
      </w:r>
      <w:r w:rsidR="00546C4B" w:rsidRPr="00E24EE7">
        <w:rPr>
          <w:rFonts w:ascii="Times New Roman" w:hAnsi="Times New Roman" w:cs="Times New Roman"/>
          <w:b/>
          <w:color w:val="000000" w:themeColor="text1"/>
          <w:sz w:val="24"/>
          <w:szCs w:val="24"/>
          <w:u w:val="single"/>
        </w:rPr>
        <w:t>obavijesti</w:t>
      </w:r>
      <w:r w:rsidR="00B76FE3">
        <w:rPr>
          <w:rFonts w:ascii="Times New Roman" w:hAnsi="Times New Roman" w:cs="Times New Roman"/>
          <w:b/>
          <w:color w:val="000000" w:themeColor="text1"/>
          <w:sz w:val="24"/>
          <w:szCs w:val="24"/>
          <w:u w:val="single"/>
        </w:rPr>
        <w:t>/zahtjeva n</w:t>
      </w:r>
      <w:r w:rsidR="005358BB">
        <w:rPr>
          <w:rFonts w:ascii="Times New Roman" w:hAnsi="Times New Roman" w:cs="Times New Roman"/>
          <w:b/>
          <w:color w:val="000000" w:themeColor="text1"/>
          <w:sz w:val="24"/>
          <w:szCs w:val="24"/>
          <w:u w:val="single"/>
        </w:rPr>
        <w:t>ositelju projekta</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58154DB2" w14:textId="2C94EA57" w:rsidR="00546C4B" w:rsidRPr="00B76FE3" w:rsidRDefault="00546C4B" w:rsidP="005358BB">
      <w:pPr>
        <w:shd w:val="clear" w:color="auto" w:fill="FFFFFF" w:themeFill="background1"/>
        <w:jc w:val="both"/>
        <w:rPr>
          <w:rStyle w:val="longtext"/>
          <w:rFonts w:ascii="Times New Roman" w:hAnsi="Times New Roman"/>
          <w:color w:val="FF0000"/>
          <w:sz w:val="24"/>
          <w:szCs w:val="24"/>
        </w:rPr>
      </w:pPr>
      <w:r w:rsidRPr="00E24EE7">
        <w:rPr>
          <w:rStyle w:val="longtext"/>
          <w:rFonts w:ascii="Times New Roman" w:hAnsi="Times New Roman"/>
          <w:color w:val="000000" w:themeColor="text1"/>
          <w:sz w:val="24"/>
          <w:szCs w:val="24"/>
        </w:rPr>
        <w:t xml:space="preserve">Dostava poštom </w:t>
      </w:r>
      <w:r w:rsidR="005247F4" w:rsidRPr="00E24EE7">
        <w:rPr>
          <w:rStyle w:val="longtext"/>
          <w:rFonts w:ascii="Times New Roman" w:hAnsi="Times New Roman"/>
          <w:color w:val="000000" w:themeColor="text1"/>
          <w:sz w:val="24"/>
          <w:szCs w:val="24"/>
        </w:rPr>
        <w:t>obavl</w:t>
      </w:r>
      <w:r w:rsidR="004831D3" w:rsidRPr="00E24EE7">
        <w:rPr>
          <w:rStyle w:val="longtext"/>
          <w:rFonts w:ascii="Times New Roman" w:hAnsi="Times New Roman"/>
          <w:color w:val="000000" w:themeColor="text1"/>
          <w:sz w:val="24"/>
          <w:szCs w:val="24"/>
        </w:rPr>
        <w:t xml:space="preserve">ja se slanjem </w:t>
      </w:r>
      <w:r w:rsidR="005247F4" w:rsidRPr="00E24EE7">
        <w:rPr>
          <w:rStyle w:val="longtext"/>
          <w:rFonts w:ascii="Times New Roman" w:hAnsi="Times New Roman"/>
          <w:color w:val="000000" w:themeColor="text1"/>
          <w:sz w:val="24"/>
          <w:szCs w:val="24"/>
        </w:rPr>
        <w:t>preporučeno</w:t>
      </w:r>
      <w:r w:rsidR="004831D3" w:rsidRPr="00E24EE7">
        <w:rPr>
          <w:rStyle w:val="longtext"/>
          <w:rFonts w:ascii="Times New Roman" w:hAnsi="Times New Roman"/>
          <w:color w:val="000000" w:themeColor="text1"/>
          <w:sz w:val="24"/>
          <w:szCs w:val="24"/>
        </w:rPr>
        <w:t>m poštom</w:t>
      </w:r>
      <w:r w:rsidR="005247F4" w:rsidRPr="00E24EE7">
        <w:rPr>
          <w:rStyle w:val="longtext"/>
          <w:rFonts w:ascii="Times New Roman" w:hAnsi="Times New Roman"/>
          <w:color w:val="000000" w:themeColor="text1"/>
          <w:sz w:val="24"/>
          <w:szCs w:val="24"/>
        </w:rPr>
        <w:t xml:space="preserve"> s povratnicom te se smatra obavljenom</w:t>
      </w:r>
      <w:r w:rsidR="004831D3" w:rsidRPr="00E24EE7">
        <w:rPr>
          <w:rStyle w:val="longtext"/>
          <w:rFonts w:ascii="Times New Roman" w:hAnsi="Times New Roman"/>
          <w:color w:val="000000" w:themeColor="text1"/>
          <w:sz w:val="24"/>
          <w:szCs w:val="24"/>
        </w:rPr>
        <w:t xml:space="preserve"> u trenutku kada je nositelj projekta </w:t>
      </w:r>
      <w:r w:rsidR="005247F4" w:rsidRPr="00E24EE7">
        <w:rPr>
          <w:rStyle w:val="longtext"/>
          <w:rFonts w:ascii="Times New Roman" w:hAnsi="Times New Roman"/>
          <w:color w:val="000000" w:themeColor="text1"/>
          <w:sz w:val="24"/>
          <w:szCs w:val="24"/>
        </w:rPr>
        <w:t>zaprimio pisanu obavijest što se dokazuje potpisom na povratnici.</w:t>
      </w:r>
      <w:r w:rsidR="000E1B5C" w:rsidRPr="00E24EE7">
        <w:rPr>
          <w:rStyle w:val="longtext"/>
          <w:rFonts w:ascii="Times New Roman" w:hAnsi="Times New Roman"/>
          <w:color w:val="000000" w:themeColor="text1"/>
          <w:sz w:val="24"/>
          <w:szCs w:val="24"/>
        </w:rPr>
        <w:t xml:space="preserve"> </w:t>
      </w:r>
      <w:r w:rsidR="00B76FE3" w:rsidRPr="00B76FE3">
        <w:rPr>
          <w:rStyle w:val="longtext"/>
          <w:rFonts w:ascii="Times New Roman" w:hAnsi="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LAG „VINODOL“ putem pošte uputio ponovljenu dostavu.</w:t>
      </w:r>
    </w:p>
    <w:p w14:paraId="2B6A1EAB" w14:textId="77777777" w:rsidR="005358BB" w:rsidRPr="00E24EE7" w:rsidRDefault="005358BB" w:rsidP="005358BB">
      <w:pPr>
        <w:shd w:val="clear" w:color="auto" w:fill="FFFFFF" w:themeFill="background1"/>
        <w:jc w:val="both"/>
        <w:rPr>
          <w:rFonts w:ascii="Times New Roman" w:hAnsi="Times New Roman" w:cs="Times New Roman"/>
          <w:b/>
          <w:color w:val="000000" w:themeColor="text1"/>
          <w:sz w:val="24"/>
          <w:szCs w:val="24"/>
          <w:u w:val="single"/>
        </w:rPr>
      </w:pPr>
    </w:p>
    <w:p w14:paraId="238F5A7E" w14:textId="438F3C3E"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B76FE3">
        <w:rPr>
          <w:rFonts w:ascii="Times New Roman" w:hAnsi="Times New Roman" w:cs="Times New Roman"/>
          <w:b/>
          <w:color w:val="000000" w:themeColor="text1"/>
          <w:sz w:val="24"/>
          <w:szCs w:val="24"/>
          <w:u w:val="single"/>
        </w:rPr>
        <w:t xml:space="preserve"> </w:t>
      </w:r>
      <w:r w:rsidR="006B6CB0" w:rsidRPr="00E24EE7">
        <w:rPr>
          <w:rFonts w:ascii="Times New Roman" w:hAnsi="Times New Roman" w:cs="Times New Roman"/>
          <w:b/>
          <w:color w:val="000000" w:themeColor="text1"/>
          <w:sz w:val="24"/>
          <w:szCs w:val="24"/>
          <w:u w:val="single"/>
        </w:rPr>
        <w:t>dopun</w:t>
      </w:r>
      <w:r w:rsidR="00B76FE3">
        <w:rPr>
          <w:rFonts w:ascii="Times New Roman" w:hAnsi="Times New Roman" w:cs="Times New Roman"/>
          <w:b/>
          <w:color w:val="000000" w:themeColor="text1"/>
          <w:sz w:val="24"/>
          <w:szCs w:val="24"/>
          <w:u w:val="single"/>
        </w:rPr>
        <w:t>e</w:t>
      </w:r>
      <w:r w:rsidR="006B6CB0" w:rsidRPr="00E24EE7">
        <w:rPr>
          <w:rFonts w:ascii="Times New Roman" w:hAnsi="Times New Roman" w:cs="Times New Roman"/>
          <w:b/>
          <w:color w:val="000000" w:themeColor="text1"/>
          <w:sz w:val="24"/>
          <w:szCs w:val="24"/>
          <w:u w:val="single"/>
        </w:rPr>
        <w:t>/obrazloženj</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/isprav</w:t>
      </w:r>
      <w:r w:rsidR="00AF4DF9">
        <w:rPr>
          <w:rFonts w:ascii="Times New Roman" w:hAnsi="Times New Roman" w:cs="Times New Roman"/>
          <w:b/>
          <w:color w:val="000000" w:themeColor="text1"/>
          <w:sz w:val="24"/>
          <w:szCs w:val="24"/>
          <w:u w:val="single"/>
        </w:rPr>
        <w:t>k</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52033369"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Ukoliko je prijava projekta nepotpuna ili ukoliko je potrebno tražiti dodatna obrazloženja/ispravke vezane uz dostavljenu dokumentaciju, LAG nositelju projekta šalje Zahtjev za dopunu/obrazloženje/ispravak (u daljnjem tekstu: Zahtjev za D/O/I) u bilo kojoj fazi postupka odabira projekata. </w:t>
      </w:r>
    </w:p>
    <w:p w14:paraId="5FD833C3" w14:textId="77777777" w:rsidR="005B4149" w:rsidRPr="00E24EE7" w:rsidRDefault="005B4149" w:rsidP="005B4149">
      <w:pPr>
        <w:autoSpaceDE w:val="0"/>
        <w:autoSpaceDN w:val="0"/>
        <w:adjustRightInd w:val="0"/>
        <w:rPr>
          <w:rFonts w:ascii="Times New Roman" w:hAnsi="Times New Roman" w:cs="Times New Roman"/>
          <w:color w:val="000000" w:themeColor="text1"/>
          <w:sz w:val="24"/>
          <w:szCs w:val="24"/>
        </w:rPr>
      </w:pPr>
    </w:p>
    <w:p w14:paraId="044699E8" w14:textId="2778A61A"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Zahtjev za D/O/I </w:t>
      </w:r>
      <w:r w:rsidR="00AF4DF9">
        <w:rPr>
          <w:rFonts w:ascii="Times New Roman" w:hAnsi="Times New Roman" w:cs="Times New Roman"/>
          <w:color w:val="000000" w:themeColor="text1"/>
          <w:sz w:val="24"/>
          <w:szCs w:val="24"/>
        </w:rPr>
        <w:t>LAG šalje n</w:t>
      </w:r>
      <w:r w:rsidRPr="00E24EE7">
        <w:rPr>
          <w:rFonts w:ascii="Times New Roman" w:hAnsi="Times New Roman" w:cs="Times New Roman"/>
          <w:color w:val="000000" w:themeColor="text1"/>
          <w:sz w:val="24"/>
          <w:szCs w:val="24"/>
        </w:rPr>
        <w:t>ositelju projekta</w:t>
      </w:r>
      <w:r w:rsidR="00AF4DF9">
        <w:rPr>
          <w:rFonts w:ascii="Times New Roman" w:hAnsi="Times New Roman" w:cs="Times New Roman"/>
          <w:color w:val="000000" w:themeColor="text1"/>
          <w:sz w:val="24"/>
          <w:szCs w:val="24"/>
        </w:rPr>
        <w:t xml:space="preserve"> preporučenom poštom s povratnicom te o poslanom obavještava korisnika </w:t>
      </w:r>
      <w:r w:rsidR="005706B2">
        <w:rPr>
          <w:rFonts w:ascii="Times New Roman" w:hAnsi="Times New Roman" w:cs="Times New Roman"/>
          <w:color w:val="000000" w:themeColor="text1"/>
          <w:sz w:val="24"/>
          <w:szCs w:val="24"/>
        </w:rPr>
        <w:t xml:space="preserve">elektroničkom poštom na e-mail adresu </w:t>
      </w:r>
      <w:r w:rsidRPr="00E24EE7">
        <w:rPr>
          <w:rFonts w:ascii="Times New Roman" w:hAnsi="Times New Roman" w:cs="Times New Roman"/>
          <w:color w:val="000000" w:themeColor="text1"/>
          <w:sz w:val="24"/>
          <w:szCs w:val="24"/>
        </w:rPr>
        <w:t>navedenu u prijavnom obrascu</w:t>
      </w:r>
      <w:r w:rsidR="005706B2">
        <w:rPr>
          <w:rFonts w:ascii="Times New Roman" w:hAnsi="Times New Roman" w:cs="Times New Roman"/>
          <w:color w:val="000000" w:themeColor="text1"/>
          <w:sz w:val="24"/>
          <w:szCs w:val="24"/>
        </w:rPr>
        <w:t xml:space="preserve"> A</w:t>
      </w:r>
      <w:r w:rsidRPr="00E24EE7">
        <w:rPr>
          <w:rFonts w:ascii="Times New Roman" w:hAnsi="Times New Roman" w:cs="Times New Roman"/>
          <w:color w:val="000000" w:themeColor="text1"/>
          <w:sz w:val="24"/>
          <w:szCs w:val="24"/>
        </w:rPr>
        <w:t xml:space="preserve">.  </w:t>
      </w:r>
    </w:p>
    <w:p w14:paraId="238B197F"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2A5DEA2A" w14:textId="39C3789B"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Nositelj projekta je obvezan dostaviti traženu dokumentaciju i/ili obrazloženja/ispravke dokumentacije</w:t>
      </w:r>
      <w:r w:rsidR="005706B2">
        <w:rPr>
          <w:rFonts w:ascii="Times New Roman" w:hAnsi="Times New Roman" w:cs="Times New Roman"/>
          <w:color w:val="000000" w:themeColor="text1"/>
          <w:sz w:val="24"/>
          <w:szCs w:val="24"/>
        </w:rPr>
        <w:t xml:space="preserve"> preporučenom poštom s povratnicom </w:t>
      </w:r>
      <w:r w:rsidRPr="00E24EE7">
        <w:rPr>
          <w:rFonts w:ascii="Times New Roman" w:hAnsi="Times New Roman" w:cs="Times New Roman"/>
          <w:color w:val="000000" w:themeColor="text1"/>
          <w:sz w:val="24"/>
          <w:szCs w:val="24"/>
        </w:rPr>
        <w:t>u roku od</w:t>
      </w:r>
      <w:r w:rsidR="005706B2">
        <w:rPr>
          <w:rFonts w:ascii="Times New Roman" w:hAnsi="Times New Roman" w:cs="Times New Roman"/>
          <w:color w:val="000000" w:themeColor="text1"/>
          <w:sz w:val="24"/>
          <w:szCs w:val="24"/>
        </w:rPr>
        <w:t xml:space="preserve"> </w:t>
      </w:r>
      <w:r w:rsidR="005706B2" w:rsidRPr="005706B2">
        <w:rPr>
          <w:rFonts w:ascii="Times New Roman" w:hAnsi="Times New Roman" w:cs="Times New Roman"/>
          <w:b/>
          <w:bCs/>
          <w:color w:val="000000" w:themeColor="text1"/>
          <w:sz w:val="24"/>
          <w:szCs w:val="24"/>
        </w:rPr>
        <w:t xml:space="preserve">osam (8) </w:t>
      </w:r>
      <w:r w:rsidRPr="005706B2">
        <w:rPr>
          <w:rFonts w:ascii="Times New Roman" w:hAnsi="Times New Roman" w:cs="Times New Roman"/>
          <w:b/>
          <w:bCs/>
          <w:color w:val="000000" w:themeColor="text1"/>
          <w:sz w:val="24"/>
          <w:szCs w:val="24"/>
        </w:rPr>
        <w:t>dana</w:t>
      </w:r>
      <w:r w:rsidRPr="00E24EE7">
        <w:rPr>
          <w:rFonts w:ascii="Times New Roman" w:hAnsi="Times New Roman" w:cs="Times New Roman"/>
          <w:color w:val="000000" w:themeColor="text1"/>
          <w:sz w:val="24"/>
          <w:szCs w:val="24"/>
        </w:rPr>
        <w:t xml:space="preserve"> od dana</w:t>
      </w:r>
      <w:r w:rsidR="005706B2">
        <w:rPr>
          <w:rFonts w:ascii="Times New Roman" w:hAnsi="Times New Roman" w:cs="Times New Roman"/>
          <w:color w:val="000000" w:themeColor="text1"/>
          <w:sz w:val="24"/>
          <w:szCs w:val="24"/>
        </w:rPr>
        <w:t xml:space="preserve"> zaprimanja </w:t>
      </w:r>
      <w:r w:rsidRPr="00E24EE7">
        <w:rPr>
          <w:rFonts w:ascii="Times New Roman" w:hAnsi="Times New Roman" w:cs="Times New Roman"/>
          <w:color w:val="000000" w:themeColor="text1"/>
          <w:sz w:val="24"/>
          <w:szCs w:val="24"/>
        </w:rPr>
        <w:t>Zahtjeva za D/O/I.</w:t>
      </w:r>
    </w:p>
    <w:p w14:paraId="6FED1C9B"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766F4DDB" w14:textId="77777777"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643F6A84" w14:textId="63B1052A"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p>
    <w:p w14:paraId="37022620" w14:textId="77777777" w:rsidR="006B6CB0" w:rsidRPr="00E24EE7" w:rsidRDefault="006B6CB0" w:rsidP="000F4779">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5AD497F3"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nositelj projekta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w:t>
      </w:r>
      <w:r w:rsidR="005706B2">
        <w:rPr>
          <w:rStyle w:val="longtext"/>
          <w:rFonts w:ascii="Times New Roman" w:hAnsi="Times New Roman"/>
          <w:color w:val="000000" w:themeColor="text1"/>
          <w:sz w:val="24"/>
          <w:szCs w:val="24"/>
        </w:rPr>
        <w:t xml:space="preserve"> </w:t>
      </w:r>
      <w:r w:rsidRPr="00E24EE7">
        <w:rPr>
          <w:rStyle w:val="longtext"/>
          <w:rFonts w:ascii="Times New Roman" w:hAnsi="Times New Roman"/>
          <w:color w:val="000000" w:themeColor="text1"/>
          <w:sz w:val="24"/>
          <w:szCs w:val="24"/>
        </w:rPr>
        <w:t>LAG</w:t>
      </w:r>
      <w:r w:rsidR="005706B2">
        <w:rPr>
          <w:rStyle w:val="longtext"/>
          <w:rFonts w:ascii="Times New Roman" w:hAnsi="Times New Roman"/>
          <w:color w:val="000000" w:themeColor="text1"/>
          <w:sz w:val="24"/>
          <w:szCs w:val="24"/>
        </w:rPr>
        <w:t xml:space="preserve"> „VINODOL“</w:t>
      </w:r>
      <w:r w:rsidRPr="00E24EE7">
        <w:rPr>
          <w:rStyle w:val="longtext"/>
          <w:rFonts w:ascii="Times New Roman" w:hAnsi="Times New Roman"/>
          <w:color w:val="000000" w:themeColor="text1"/>
          <w:sz w:val="24"/>
          <w:szCs w:val="24"/>
        </w:rPr>
        <w:t xml:space="preserve">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1" w:name="_Toc505958397"/>
      <w:bookmarkStart w:id="82" w:name="_Toc120174293"/>
      <w:r w:rsidRPr="00E24EE7">
        <w:rPr>
          <w:rFonts w:ascii="Times New Roman" w:hAnsi="Times New Roman" w:cs="Times New Roman"/>
          <w:b/>
          <w:color w:val="000000" w:themeColor="text1"/>
          <w:sz w:val="24"/>
          <w:szCs w:val="24"/>
        </w:rPr>
        <w:t>Administrativna kontrola projekata (Analiza 1)</w:t>
      </w:r>
      <w:bookmarkEnd w:id="81"/>
      <w:bookmarkEnd w:id="82"/>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7E871DB9"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033781">
        <w:rPr>
          <w:rFonts w:ascii="Times New Roman" w:eastAsia="Times New Roman" w:hAnsi="Times New Roman" w:cs="Times New Roman"/>
          <w:color w:val="000000" w:themeColor="text1"/>
          <w:sz w:val="24"/>
          <w:szCs w:val="24"/>
        </w:rPr>
        <w:t xml:space="preserve"> zaprimljene</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nositelja projekta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59AC68DD"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160FEFCA"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 slučaju neispunjavanja zahtjeva za nositelja proj</w:t>
      </w:r>
      <w:r w:rsidR="00973CFA" w:rsidRPr="00E24EE7">
        <w:rPr>
          <w:rFonts w:ascii="Times New Roman" w:hAnsi="Times New Roman" w:cs="Times New Roman"/>
          <w:color w:val="000000" w:themeColor="text1"/>
          <w:sz w:val="24"/>
          <w:szCs w:val="24"/>
        </w:rPr>
        <w:t>ekta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3" w:name="_Toc505958398"/>
      <w:bookmarkStart w:id="84" w:name="_Toc120174294"/>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3"/>
      <w:bookmarkEnd w:id="84"/>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1D4923B6" w14:textId="458CBCA5"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Prednost na rang listi imaju prijave projekata s ostvarenim većim brojem bodova tijekom administrativne obrade. </w:t>
      </w:r>
    </w:p>
    <w:p w14:paraId="443E45D6" w14:textId="77777777"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2B5C17F" w14:textId="0B62ED84" w:rsidR="00B0370C" w:rsidRDefault="00B278D3" w:rsidP="00B0370C">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U slučaju da dv</w:t>
      </w:r>
      <w:r w:rsidR="00FF1E58">
        <w:rPr>
          <w:rFonts w:ascii="Times New Roman" w:eastAsia="Times New Roman" w:hAnsi="Times New Roman" w:cs="Times New Roman"/>
          <w:color w:val="000000" w:themeColor="text1"/>
          <w:sz w:val="24"/>
          <w:szCs w:val="24"/>
        </w:rPr>
        <w:t>ije</w:t>
      </w:r>
      <w:r w:rsidRPr="00E24EE7">
        <w:rPr>
          <w:rFonts w:ascii="Times New Roman" w:eastAsia="Times New Roman" w:hAnsi="Times New Roman" w:cs="Times New Roman"/>
          <w:color w:val="000000" w:themeColor="text1"/>
          <w:sz w:val="24"/>
          <w:szCs w:val="24"/>
        </w:rPr>
        <w:t xml:space="preserve"> </w:t>
      </w:r>
      <w:r w:rsidR="00BB5A2F" w:rsidRPr="00E24EE7">
        <w:rPr>
          <w:rFonts w:ascii="Times New Roman" w:eastAsia="Times New Roman" w:hAnsi="Times New Roman" w:cs="Times New Roman"/>
          <w:color w:val="000000" w:themeColor="text1"/>
          <w:sz w:val="24"/>
          <w:szCs w:val="24"/>
        </w:rPr>
        <w:t>ili više</w:t>
      </w:r>
      <w:r w:rsidR="00FF1E58">
        <w:rPr>
          <w:rFonts w:ascii="Times New Roman" w:eastAsia="Times New Roman" w:hAnsi="Times New Roman" w:cs="Times New Roman"/>
          <w:color w:val="000000" w:themeColor="text1"/>
          <w:sz w:val="24"/>
          <w:szCs w:val="24"/>
        </w:rPr>
        <w:t xml:space="preserve"> prijava</w:t>
      </w:r>
      <w:r w:rsidR="00BB5A2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w:t>
      </w:r>
      <w:r w:rsidR="00BB5A2F"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 imaju isti ostvareni broj bodova, prednost na rang list</w:t>
      </w:r>
      <w:r w:rsidR="00FF1E58">
        <w:rPr>
          <w:rFonts w:ascii="Times New Roman" w:eastAsia="Times New Roman" w:hAnsi="Times New Roman" w:cs="Times New Roman"/>
          <w:color w:val="000000" w:themeColor="text1"/>
          <w:sz w:val="24"/>
          <w:szCs w:val="24"/>
        </w:rPr>
        <w:t>i će se odrediti po sljedećem redoslijedu</w:t>
      </w:r>
      <w:r w:rsidR="00092622" w:rsidRPr="00E24EE7">
        <w:rPr>
          <w:rFonts w:ascii="Times New Roman" w:eastAsia="Times New Roman" w:hAnsi="Times New Roman" w:cs="Times New Roman"/>
          <w:color w:val="000000" w:themeColor="text1"/>
          <w:sz w:val="24"/>
          <w:szCs w:val="24"/>
        </w:rPr>
        <w:t xml:space="preserve">: </w:t>
      </w:r>
    </w:p>
    <w:p w14:paraId="6823A458" w14:textId="77777777"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koji više doprinose razvoju područja i ciljevima utvrđenim u LRS LAG-a „VINODOL“</w:t>
      </w:r>
    </w:p>
    <w:p w14:paraId="06AA4128" w14:textId="7EFCCB3E"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s ranijim datumom i vremenom podnošenja potpune</w:t>
      </w:r>
      <w:r w:rsidR="00E35DCB">
        <w:rPr>
          <w:rStyle w:val="Referencafusnote"/>
          <w:rFonts w:ascii="Times New Roman" w:eastAsia="Times New Roman" w:hAnsi="Times New Roman"/>
          <w:color w:val="000000" w:themeColor="text1"/>
          <w:sz w:val="24"/>
          <w:szCs w:val="24"/>
        </w:rPr>
        <w:footnoteReference w:id="7"/>
      </w:r>
      <w:r>
        <w:rPr>
          <w:rFonts w:ascii="Times New Roman" w:eastAsia="Times New Roman" w:hAnsi="Times New Roman" w:cs="Times New Roman"/>
          <w:color w:val="000000" w:themeColor="text1"/>
          <w:sz w:val="24"/>
          <w:szCs w:val="24"/>
        </w:rPr>
        <w:t xml:space="preserve"> prijave projekata</w:t>
      </w:r>
    </w:p>
    <w:p w14:paraId="4C5B0FB5" w14:textId="77777777" w:rsidR="0019777B" w:rsidRDefault="0019777B"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p>
    <w:p w14:paraId="240A0A25" w14:textId="2A1EA5AD" w:rsidR="00B278D3" w:rsidRPr="0019777B" w:rsidRDefault="00BB5A2F"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19777B">
        <w:rPr>
          <w:rFonts w:ascii="Times New Roman" w:eastAsia="Times New Roman" w:hAnsi="Times New Roman" w:cs="Times New Roman"/>
          <w:color w:val="000000" w:themeColor="text1"/>
          <w:sz w:val="24"/>
          <w:szCs w:val="24"/>
        </w:rPr>
        <w:t>Ako dvije ili više prijava projekata i nakon takve provjere imaju isti broj bodova,</w:t>
      </w:r>
      <w:r w:rsidR="0019777B">
        <w:rPr>
          <w:rFonts w:ascii="Times New Roman" w:eastAsia="Times New Roman" w:hAnsi="Times New Roman" w:cs="Times New Roman"/>
          <w:color w:val="000000" w:themeColor="text1"/>
          <w:sz w:val="24"/>
          <w:szCs w:val="24"/>
        </w:rPr>
        <w:t xml:space="preserve"> te isto vrijeme podnošenja prijave projekta/dopune, </w:t>
      </w:r>
      <w:r w:rsidRPr="0019777B">
        <w:rPr>
          <w:rFonts w:ascii="Times New Roman" w:eastAsia="Times New Roman" w:hAnsi="Times New Roman" w:cs="Times New Roman"/>
          <w:color w:val="000000" w:themeColor="text1"/>
          <w:sz w:val="24"/>
          <w:szCs w:val="24"/>
        </w:rPr>
        <w:t>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444251A8" w:rsidR="0085775F" w:rsidRPr="00E24EE7" w:rsidRDefault="0085775F" w:rsidP="006B6CB0">
      <w:pPr>
        <w:pStyle w:val="Naslov2"/>
        <w:rPr>
          <w:rFonts w:ascii="Times New Roman" w:hAnsi="Times New Roman" w:cs="Times New Roman"/>
          <w:b/>
          <w:color w:val="000000" w:themeColor="text1"/>
          <w:sz w:val="24"/>
          <w:szCs w:val="24"/>
        </w:rPr>
      </w:pPr>
      <w:bookmarkStart w:id="85" w:name="_Toc505958399"/>
      <w:bookmarkStart w:id="86" w:name="_Toc120174295"/>
      <w:r w:rsidRPr="00E24EE7">
        <w:rPr>
          <w:rFonts w:ascii="Times New Roman" w:hAnsi="Times New Roman" w:cs="Times New Roman"/>
          <w:b/>
          <w:color w:val="000000" w:themeColor="text1"/>
          <w:sz w:val="24"/>
          <w:szCs w:val="24"/>
        </w:rPr>
        <w:t>Odabir projekata od strane UO LAG-a</w:t>
      </w:r>
      <w:bookmarkEnd w:id="85"/>
      <w:r w:rsidR="00376804">
        <w:rPr>
          <w:rFonts w:ascii="Times New Roman" w:hAnsi="Times New Roman" w:cs="Times New Roman"/>
          <w:b/>
          <w:color w:val="000000" w:themeColor="text1"/>
          <w:sz w:val="24"/>
          <w:szCs w:val="24"/>
        </w:rPr>
        <w:t xml:space="preserve"> „VINODOL“</w:t>
      </w:r>
      <w:bookmarkEnd w:id="86"/>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00D2A9D0"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w:t>
      </w:r>
      <w:r w:rsidR="00376804">
        <w:rPr>
          <w:rFonts w:ascii="Times New Roman" w:eastAsia="Times New Roman" w:hAnsi="Times New Roman" w:cs="Times New Roman"/>
          <w:color w:val="000000" w:themeColor="text1"/>
          <w:sz w:val="24"/>
          <w:szCs w:val="24"/>
        </w:rPr>
        <w:t xml:space="preserve"> tijekom</w:t>
      </w:r>
      <w:r w:rsidRPr="00E24EE7">
        <w:rPr>
          <w:rFonts w:ascii="Times New Roman" w:eastAsia="Times New Roman" w:hAnsi="Times New Roman" w:cs="Times New Roman"/>
          <w:color w:val="000000" w:themeColor="text1"/>
          <w:sz w:val="24"/>
          <w:szCs w:val="24"/>
        </w:rPr>
        <w:t xml:space="preserve">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w:t>
      </w:r>
      <w:r w:rsidR="00376804">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LAG</w:t>
      </w:r>
      <w:r w:rsidR="00376804">
        <w:rPr>
          <w:rFonts w:ascii="Times New Roman" w:eastAsia="Times New Roman" w:hAnsi="Times New Roman" w:cs="Times New Roman"/>
          <w:color w:val="000000" w:themeColor="text1"/>
          <w:sz w:val="24"/>
          <w:szCs w:val="24"/>
        </w:rPr>
        <w:t xml:space="preserve"> „VINODOL“</w:t>
      </w:r>
      <w:r w:rsidRPr="00E24EE7">
        <w:rPr>
          <w:rFonts w:ascii="Times New Roman" w:eastAsia="Times New Roman" w:hAnsi="Times New Roman" w:cs="Times New Roman"/>
          <w:color w:val="000000" w:themeColor="text1"/>
          <w:sz w:val="24"/>
          <w:szCs w:val="24"/>
        </w:rPr>
        <w:t xml:space="preserve">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D0E896" w:rsidR="00747660" w:rsidRPr="00E24EE7"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w:t>
      </w:r>
      <w:r w:rsidR="00F75A6B">
        <w:rPr>
          <w:rFonts w:ascii="Times New Roman" w:eastAsia="Times New Roman" w:hAnsi="Times New Roman" w:cs="Times New Roman"/>
          <w:color w:val="000000" w:themeColor="text1"/>
          <w:sz w:val="24"/>
          <w:szCs w:val="24"/>
        </w:rPr>
        <w:t>i</w:t>
      </w:r>
      <w:r w:rsidR="00B25B67" w:rsidRPr="00E24EE7">
        <w:rPr>
          <w:rFonts w:ascii="Times New Roman" w:eastAsia="Times New Roman" w:hAnsi="Times New Roman" w:cs="Times New Roman"/>
          <w:color w:val="000000" w:themeColor="text1"/>
          <w:sz w:val="24"/>
          <w:szCs w:val="24"/>
        </w:rPr>
        <w:t xml:space="preserve"> 1 ili 2</w:t>
      </w:r>
    </w:p>
    <w:p w14:paraId="6BDDF0A7" w14:textId="5BAD5315" w:rsidR="00A4782E" w:rsidRPr="00E24EE7"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5A0653">
        <w:rPr>
          <w:rFonts w:ascii="Times New Roman" w:eastAsia="Times New Roman" w:hAnsi="Times New Roman" w:cs="Times New Roman"/>
          <w:color w:val="000000" w:themeColor="text1"/>
          <w:sz w:val="24"/>
          <w:szCs w:val="24"/>
        </w:rPr>
        <w:t xml:space="preserve"> nakon </w:t>
      </w:r>
      <w:r w:rsidR="008F5CD5" w:rsidRPr="00E24EE7">
        <w:rPr>
          <w:rFonts w:ascii="Times New Roman" w:eastAsia="Times New Roman" w:hAnsi="Times New Roman" w:cs="Times New Roman"/>
          <w:color w:val="000000" w:themeColor="text1"/>
          <w:sz w:val="24"/>
          <w:szCs w:val="24"/>
        </w:rPr>
        <w:t>analiz</w:t>
      </w:r>
      <w:r w:rsidR="005A0653">
        <w:rPr>
          <w:rFonts w:ascii="Times New Roman" w:eastAsia="Times New Roman" w:hAnsi="Times New Roman" w:cs="Times New Roman"/>
          <w:color w:val="000000" w:themeColor="text1"/>
          <w:sz w:val="24"/>
          <w:szCs w:val="24"/>
        </w:rPr>
        <w:t xml:space="preserve">e </w:t>
      </w:r>
      <w:r w:rsidR="008F5CD5" w:rsidRPr="00E24EE7">
        <w:rPr>
          <w:rFonts w:ascii="Times New Roman" w:eastAsia="Times New Roman" w:hAnsi="Times New Roman" w:cs="Times New Roman"/>
          <w:color w:val="000000" w:themeColor="text1"/>
          <w:sz w:val="24"/>
          <w:szCs w:val="24"/>
        </w:rPr>
        <w:t>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0E27C9C1"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da je nositelj projekta</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0F4C4099"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nositelj projekta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na koju nositelj projekta nema pravo podnijeti prigovor.</w:t>
      </w:r>
    </w:p>
    <w:p w14:paraId="69DD3659" w14:textId="4C8860D7" w:rsidR="00B83A2A"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20DAD971" w:rsidR="003940E8"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lastRenderedPageBreak/>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xml:space="preserve">, a </w:t>
      </w:r>
      <w:r w:rsidR="00A65B00">
        <w:rPr>
          <w:rFonts w:ascii="Times New Roman" w:eastAsia="Times New Roman" w:hAnsi="Times New Roman" w:cs="Times New Roman"/>
          <w:color w:val="000000" w:themeColor="text1"/>
          <w:sz w:val="24"/>
          <w:szCs w:val="24"/>
        </w:rPr>
        <w:t xml:space="preserve">intenzitet i </w:t>
      </w:r>
      <w:r w:rsidRPr="00E24EE7">
        <w:rPr>
          <w:rFonts w:ascii="Times New Roman" w:eastAsia="Times New Roman" w:hAnsi="Times New Roman" w:cs="Times New Roman"/>
          <w:color w:val="000000" w:themeColor="text1"/>
          <w:sz w:val="24"/>
          <w:szCs w:val="24"/>
        </w:rPr>
        <w:t xml:space="preserve">iznos potpore </w:t>
      </w:r>
      <w:r w:rsidR="00A65B00">
        <w:rPr>
          <w:rFonts w:ascii="Times New Roman" w:eastAsia="Times New Roman" w:hAnsi="Times New Roman" w:cs="Times New Roman"/>
          <w:color w:val="000000" w:themeColor="text1"/>
          <w:sz w:val="24"/>
          <w:szCs w:val="24"/>
        </w:rPr>
        <w:t>te</w:t>
      </w:r>
      <w:r w:rsidRPr="00E24EE7">
        <w:rPr>
          <w:rFonts w:ascii="Times New Roman" w:eastAsia="Times New Roman" w:hAnsi="Times New Roman" w:cs="Times New Roman"/>
          <w:color w:val="000000" w:themeColor="text1"/>
          <w:sz w:val="24"/>
          <w:szCs w:val="24"/>
        </w:rPr>
        <w:t xml:space="preserve"> broj bodova </w:t>
      </w:r>
      <w:r w:rsidR="00A65B00">
        <w:rPr>
          <w:rFonts w:ascii="Times New Roman" w:eastAsia="Times New Roman" w:hAnsi="Times New Roman" w:cs="Times New Roman"/>
          <w:color w:val="000000" w:themeColor="text1"/>
          <w:sz w:val="24"/>
          <w:szCs w:val="24"/>
        </w:rPr>
        <w:t xml:space="preserve">provjereni te </w:t>
      </w:r>
      <w:r w:rsidRPr="00E24EE7">
        <w:rPr>
          <w:rFonts w:ascii="Times New Roman" w:eastAsia="Times New Roman" w:hAnsi="Times New Roman" w:cs="Times New Roman"/>
          <w:color w:val="000000" w:themeColor="text1"/>
          <w:sz w:val="24"/>
          <w:szCs w:val="24"/>
        </w:rPr>
        <w:t>umanjeni u odnosu na traženo u prijavi projekta</w:t>
      </w:r>
    </w:p>
    <w:p w14:paraId="498EF312" w14:textId="0CDBA0CF" w:rsidR="003940E8" w:rsidRPr="00E24EE7"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w:t>
      </w:r>
      <w:r w:rsidR="00D272C6">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1 ili 2</w:t>
      </w:r>
    </w:p>
    <w:p w14:paraId="1078FA3A" w14:textId="73E830DD" w:rsidR="009E7066"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 xml:space="preserve">ako se utvrdi da za </w:t>
      </w:r>
      <w:r w:rsidR="00A65B00">
        <w:rPr>
          <w:rFonts w:ascii="Times New Roman" w:eastAsia="Times New Roman" w:hAnsi="Times New Roman" w:cs="Times New Roman"/>
          <w:color w:val="000000" w:themeColor="text1"/>
          <w:sz w:val="24"/>
          <w:szCs w:val="24"/>
        </w:rPr>
        <w:t>prijavu</w:t>
      </w:r>
      <w:r w:rsidR="009E7066" w:rsidRPr="00E24EE7">
        <w:rPr>
          <w:rFonts w:ascii="Times New Roman" w:eastAsia="Times New Roman" w:hAnsi="Times New Roman" w:cs="Times New Roman"/>
          <w:color w:val="000000" w:themeColor="text1"/>
          <w:sz w:val="24"/>
          <w:szCs w:val="24"/>
        </w:rPr>
        <w:t xml:space="preserve"> projekta nema dovoljno raspoloživih sredstava</w:t>
      </w:r>
    </w:p>
    <w:p w14:paraId="2DF14670" w14:textId="53EEF412" w:rsidR="003940E8" w:rsidRPr="00E24EE7"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1466D14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Odluku o rezultatu administrativne kontrole i Odluku o odbijanju projekta, nositelj projekta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6B2D1ABB"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nositelj projekta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" filled="f" strokeweight=".5pt">
                <v:textbo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4FB84A3A" w:rsidR="00187842" w:rsidRPr="00E24EE7" w:rsidRDefault="006B6CB0" w:rsidP="00306F38">
      <w:pPr>
        <w:pStyle w:val="Naslov2"/>
        <w:rPr>
          <w:rFonts w:ascii="Times New Roman" w:hAnsi="Times New Roman" w:cs="Times New Roman"/>
          <w:b/>
          <w:color w:val="000000" w:themeColor="text1"/>
          <w:sz w:val="24"/>
          <w:szCs w:val="24"/>
        </w:rPr>
      </w:pPr>
      <w:bookmarkStart w:id="87" w:name="_Toc505958400"/>
      <w:bookmarkStart w:id="88" w:name="_Toc120174296"/>
      <w:r w:rsidRPr="00E24EE7">
        <w:rPr>
          <w:rFonts w:ascii="Times New Roman" w:hAnsi="Times New Roman" w:cs="Times New Roman"/>
          <w:b/>
          <w:color w:val="000000" w:themeColor="text1"/>
          <w:sz w:val="24"/>
          <w:szCs w:val="24"/>
        </w:rPr>
        <w:t>Prigovori na odluke LAG-a</w:t>
      </w:r>
      <w:bookmarkEnd w:id="87"/>
      <w:r w:rsidR="00FF374D">
        <w:rPr>
          <w:rFonts w:ascii="Times New Roman" w:hAnsi="Times New Roman" w:cs="Times New Roman"/>
          <w:b/>
          <w:color w:val="000000" w:themeColor="text1"/>
          <w:sz w:val="24"/>
          <w:szCs w:val="24"/>
        </w:rPr>
        <w:t xml:space="preserve"> „VINODOL“</w:t>
      </w:r>
      <w:bookmarkEnd w:id="88"/>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30DFE962"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odluke koje donosi</w:t>
      </w:r>
      <w:r w:rsidR="00FF374D">
        <w:rPr>
          <w:rFonts w:ascii="Times New Roman" w:eastAsia="Times New Roman" w:hAnsi="Times New Roman" w:cs="Times New Roman"/>
          <w:color w:val="000000" w:themeColor="text1"/>
          <w:sz w:val="24"/>
          <w:szCs w:val="24"/>
        </w:rPr>
        <w:t xml:space="preserve"> </w:t>
      </w:r>
      <w:r w:rsidR="003D0241" w:rsidRPr="00E24EE7">
        <w:rPr>
          <w:rFonts w:ascii="Times New Roman" w:eastAsia="Times New Roman" w:hAnsi="Times New Roman" w:cs="Times New Roman"/>
          <w:color w:val="000000" w:themeColor="text1"/>
          <w:sz w:val="24"/>
          <w:szCs w:val="24"/>
        </w:rPr>
        <w:t>LAG</w:t>
      </w:r>
      <w:r w:rsidR="00FF374D">
        <w:rPr>
          <w:rFonts w:ascii="Times New Roman" w:eastAsia="Times New Roman" w:hAnsi="Times New Roman" w:cs="Times New Roman"/>
          <w:color w:val="000000" w:themeColor="text1"/>
          <w:sz w:val="24"/>
          <w:szCs w:val="24"/>
        </w:rPr>
        <w:t xml:space="preserve"> „VINODOL“</w:t>
      </w:r>
      <w:r w:rsidR="003D0241" w:rsidRPr="00E24EE7">
        <w:rPr>
          <w:rFonts w:ascii="Times New Roman" w:eastAsia="Times New Roman" w:hAnsi="Times New Roman" w:cs="Times New Roman"/>
          <w:color w:val="000000" w:themeColor="text1"/>
          <w:sz w:val="24"/>
          <w:szCs w:val="24"/>
        </w:rPr>
        <w:t xml:space="preserve"> nositelj projekta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w:t>
      </w:r>
      <w:r w:rsidR="00FF374D">
        <w:rPr>
          <w:rFonts w:ascii="Times New Roman" w:eastAsia="Times New Roman" w:hAnsi="Times New Roman" w:cs="Times New Roman"/>
          <w:color w:val="000000" w:themeColor="text1"/>
          <w:sz w:val="24"/>
          <w:szCs w:val="24"/>
        </w:rPr>
        <w:t xml:space="preserve"> Povjerenstvu </w:t>
      </w:r>
      <w:r w:rsidR="003D0241" w:rsidRPr="00E24EE7">
        <w:rPr>
          <w:rFonts w:ascii="Times New Roman" w:eastAsia="Times New Roman" w:hAnsi="Times New Roman" w:cs="Times New Roman"/>
          <w:color w:val="000000" w:themeColor="text1"/>
          <w:sz w:val="24"/>
          <w:szCs w:val="24"/>
        </w:rPr>
        <w:t>za prigovore</w:t>
      </w:r>
      <w:r w:rsidRPr="00E24EE7">
        <w:rPr>
          <w:rFonts w:ascii="Times New Roman" w:eastAsia="Times New Roman" w:hAnsi="Times New Roman" w:cs="Times New Roman"/>
          <w:color w:val="000000" w:themeColor="text1"/>
          <w:sz w:val="24"/>
          <w:szCs w:val="24"/>
        </w:rPr>
        <w:t>.</w:t>
      </w:r>
    </w:p>
    <w:p w14:paraId="40F8843D" w14:textId="16DE1448" w:rsidR="00D8666D" w:rsidRPr="00E24EE7" w:rsidRDefault="003D0241" w:rsidP="00D8666D">
      <w:pPr>
        <w:pStyle w:val="box454135"/>
        <w:spacing w:after="120"/>
        <w:jc w:val="both"/>
        <w:rPr>
          <w:color w:val="000000" w:themeColor="text1"/>
          <w:lang w:eastAsia="en-US"/>
        </w:rPr>
      </w:pPr>
      <w:r w:rsidRPr="00E24EE7">
        <w:rPr>
          <w:color w:val="000000" w:themeColor="text1"/>
          <w:lang w:eastAsia="en-US"/>
        </w:rPr>
        <w:t>Nositelj projekta</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a) povrede p</w:t>
      </w:r>
      <w:r w:rsidR="003D0241" w:rsidRPr="00E24EE7">
        <w:rPr>
          <w:color w:val="000000" w:themeColor="text1"/>
          <w:lang w:eastAsia="en-US"/>
        </w:rPr>
        <w:t xml:space="preserve">ostupovnih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194E7C6B"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0935FC" w:rsidRPr="00E24EE7">
        <w:rPr>
          <w:rFonts w:ascii="Times New Roman" w:eastAsia="Times New Roman" w:hAnsi="Times New Roman" w:cs="Times New Roman"/>
          <w:color w:val="000000" w:themeColor="text1"/>
          <w:sz w:val="24"/>
          <w:szCs w:val="24"/>
        </w:rPr>
        <w:t>osam (</w:t>
      </w:r>
      <w:r w:rsidRPr="00E24EE7">
        <w:rPr>
          <w:rFonts w:ascii="Times New Roman" w:eastAsia="Times New Roman" w:hAnsi="Times New Roman" w:cs="Times New Roman"/>
          <w:color w:val="000000" w:themeColor="text1"/>
          <w:sz w:val="24"/>
          <w:szCs w:val="24"/>
        </w:rPr>
        <w:t>8</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650C6A47" w:rsidR="00D8666D"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w:t>
      </w:r>
      <w:r w:rsidR="00D8666D" w:rsidRPr="00E24EE7">
        <w:rPr>
          <w:rFonts w:ascii="Times New Roman" w:eastAsia="Times New Roman" w:hAnsi="Times New Roman" w:cs="Times New Roman"/>
          <w:color w:val="000000" w:themeColor="text1"/>
          <w:sz w:val="24"/>
          <w:szCs w:val="24"/>
        </w:rPr>
        <w:t xml:space="preserve"> s</w:t>
      </w:r>
      <w:r w:rsidRPr="00E24EE7">
        <w:rPr>
          <w:rFonts w:ascii="Times New Roman" w:eastAsia="Times New Roman" w:hAnsi="Times New Roman" w:cs="Times New Roman"/>
          <w:color w:val="000000" w:themeColor="text1"/>
          <w:sz w:val="24"/>
          <w:szCs w:val="24"/>
        </w:rPr>
        <w:t>e u tijeku roka za podnošenj</w:t>
      </w:r>
      <w:r w:rsidR="002412BC">
        <w:rPr>
          <w:rFonts w:ascii="Times New Roman" w:eastAsia="Times New Roman" w:hAnsi="Times New Roman" w:cs="Times New Roman"/>
          <w:color w:val="000000" w:themeColor="text1"/>
          <w:sz w:val="24"/>
          <w:szCs w:val="24"/>
        </w:rPr>
        <w:t xml:space="preserve">e </w:t>
      </w:r>
      <w:r w:rsidR="00D8666D" w:rsidRPr="00E24EE7">
        <w:rPr>
          <w:rFonts w:ascii="Times New Roman" w:eastAsia="Times New Roman" w:hAnsi="Times New Roman" w:cs="Times New Roman"/>
          <w:color w:val="000000" w:themeColor="text1"/>
          <w:sz w:val="24"/>
          <w:szCs w:val="24"/>
        </w:rPr>
        <w:t xml:space="preserve">prigovora može odreći prava na prigovor koji se ne može opozvati, što se može učiniti prihvaćanjem odluke </w:t>
      </w:r>
      <w:r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Pr="00E24EE7">
        <w:rPr>
          <w:rFonts w:ascii="Times New Roman" w:eastAsia="Times New Roman" w:hAnsi="Times New Roman" w:cs="Times New Roman"/>
          <w:color w:val="000000" w:themeColor="text1"/>
          <w:sz w:val="24"/>
          <w:szCs w:val="24"/>
        </w:rPr>
        <w:t xml:space="preserve">elektroničke </w:t>
      </w:r>
      <w:r w:rsidRPr="00E24EE7">
        <w:rPr>
          <w:rFonts w:ascii="Times New Roman" w:eastAsia="Times New Roman" w:hAnsi="Times New Roman" w:cs="Times New Roman"/>
          <w:color w:val="000000" w:themeColor="text1"/>
          <w:sz w:val="24"/>
          <w:szCs w:val="24"/>
        </w:rPr>
        <w:lastRenderedPageBreak/>
        <w:t xml:space="preserve">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66609E5A" w:rsidR="000935FC"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 podnosi prigovor</w:t>
      </w:r>
      <w:r w:rsidR="003B4AB6">
        <w:rPr>
          <w:rFonts w:ascii="Times New Roman" w:eastAsia="Times New Roman" w:hAnsi="Times New Roman" w:cs="Times New Roman"/>
          <w:color w:val="000000" w:themeColor="text1"/>
          <w:sz w:val="24"/>
          <w:szCs w:val="24"/>
        </w:rPr>
        <w:t xml:space="preserve"> Povjerenstvu </w:t>
      </w:r>
      <w:r w:rsidR="00D8666D" w:rsidRPr="00E24EE7">
        <w:rPr>
          <w:rFonts w:ascii="Times New Roman" w:eastAsia="Times New Roman" w:hAnsi="Times New Roman" w:cs="Times New Roman"/>
          <w:color w:val="000000" w:themeColor="text1"/>
          <w:sz w:val="24"/>
          <w:szCs w:val="24"/>
        </w:rPr>
        <w:t>za prigovore u jednom</w:t>
      </w:r>
      <w:r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Pr="00E24EE7">
        <w:rPr>
          <w:rFonts w:ascii="Times New Roman" w:eastAsia="Times New Roman" w:hAnsi="Times New Roman" w:cs="Times New Roman"/>
          <w:color w:val="000000" w:themeColor="text1"/>
          <w:sz w:val="24"/>
          <w:szCs w:val="24"/>
        </w:rPr>
        <w:t>na adresu</w:t>
      </w:r>
      <w:r w:rsidR="003B4AB6">
        <w:rPr>
          <w:rFonts w:ascii="Times New Roman" w:eastAsia="Times New Roman" w:hAnsi="Times New Roman" w:cs="Times New Roman"/>
          <w:color w:val="000000" w:themeColor="text1"/>
          <w:sz w:val="24"/>
          <w:szCs w:val="24"/>
        </w:rPr>
        <w:t>:</w:t>
      </w:r>
    </w:p>
    <w:p w14:paraId="23A7CD3F" w14:textId="43F2186B"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LAG „VINODOL“</w:t>
      </w:r>
    </w:p>
    <w:p w14:paraId="399FA0B5" w14:textId="4E25BB1C"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BRIBIR 46A</w:t>
      </w:r>
    </w:p>
    <w:p w14:paraId="18881277" w14:textId="18220BDD"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51253 BRIBIR</w:t>
      </w:r>
    </w:p>
    <w:p w14:paraId="6D2DD2C8" w14:textId="57B98334"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w:t>
      </w:r>
      <w:r w:rsidRPr="003B4AB6">
        <w:rPr>
          <w:rFonts w:ascii="Times New Roman" w:eastAsia="Times New Roman" w:hAnsi="Times New Roman" w:cs="Times New Roman"/>
          <w:b/>
          <w:bCs/>
          <w:color w:val="000000" w:themeColor="text1"/>
          <w:sz w:val="24"/>
          <w:szCs w:val="24"/>
        </w:rPr>
        <w:t xml:space="preserve">apomena: </w:t>
      </w:r>
      <w:r w:rsidRPr="003B4AB6">
        <w:rPr>
          <w:rFonts w:ascii="Times New Roman" w:eastAsia="Times New Roman" w:hAnsi="Times New Roman" w:cs="Times New Roman"/>
          <w:b/>
          <w:bCs/>
          <w:i/>
          <w:iCs/>
          <w:color w:val="000000" w:themeColor="text1"/>
          <w:sz w:val="24"/>
          <w:szCs w:val="24"/>
        </w:rPr>
        <w:t>„PRIGOVOR, NE OTVARATI“</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2F68B2F6"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nositelja projekta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t>prezime</w:t>
      </w:r>
      <w:r w:rsidR="003B4AB6">
        <w:rPr>
          <w:rFonts w:ascii="Times New Roman" w:eastAsia="Times New Roman" w:hAnsi="Times New Roman" w:cs="Times New Roman"/>
          <w:color w:val="000000" w:themeColor="text1"/>
          <w:sz w:val="24"/>
          <w:szCs w:val="24"/>
        </w:rPr>
        <w:t xml:space="preserve"> </w:t>
      </w:r>
      <w:r w:rsidR="00172DB8" w:rsidRPr="00E24EE7">
        <w:rPr>
          <w:rFonts w:ascii="Times New Roman" w:eastAsia="Times New Roman" w:hAnsi="Times New Roman" w:cs="Times New Roman"/>
          <w:color w:val="000000" w:themeColor="text1"/>
          <w:sz w:val="24"/>
          <w:szCs w:val="24"/>
        </w:rPr>
        <w:t>odgovorne osobe</w:t>
      </w:r>
      <w:r w:rsidRPr="00E24EE7">
        <w:rPr>
          <w:rFonts w:ascii="Times New Roman" w:eastAsia="Times New Roman" w:hAnsi="Times New Roman" w:cs="Times New Roman"/>
          <w:color w:val="000000" w:themeColor="text1"/>
          <w:sz w:val="24"/>
          <w:szCs w:val="24"/>
        </w:rPr>
        <w:t xml:space="preserve">, naziv </w:t>
      </w:r>
      <w:r w:rsidR="003B4AB6">
        <w:rPr>
          <w:rFonts w:ascii="Times New Roman" w:eastAsia="Times New Roman" w:hAnsi="Times New Roman" w:cs="Times New Roman"/>
          <w:color w:val="000000" w:themeColor="text1"/>
          <w:sz w:val="24"/>
          <w:szCs w:val="24"/>
        </w:rPr>
        <w:t>ov</w:t>
      </w:r>
      <w:r w:rsidRPr="00E24EE7">
        <w:rPr>
          <w:rFonts w:ascii="Times New Roman" w:eastAsia="Times New Roman" w:hAnsi="Times New Roman" w:cs="Times New Roman"/>
          <w:color w:val="000000" w:themeColor="text1"/>
          <w:sz w:val="24"/>
          <w:szCs w:val="24"/>
        </w:rPr>
        <w:t>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15FC8945"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Tijekom postupka rješavanja po prigovorima ne mogu se uvoditi nove činjenice i dokazi. Ako se tijekom postupka rješavanja po prigovorima</w:t>
      </w:r>
      <w:r w:rsidR="002F33B8">
        <w:rPr>
          <w:rFonts w:ascii="Times New Roman" w:eastAsia="Times New Roman" w:hAnsi="Times New Roman" w:cs="Times New Roman"/>
          <w:color w:val="000000" w:themeColor="text1"/>
          <w:sz w:val="24"/>
          <w:szCs w:val="24"/>
        </w:rPr>
        <w:t xml:space="preserve"> Povjerenstvu </w:t>
      </w:r>
      <w:r w:rsidRPr="00E24EE7">
        <w:rPr>
          <w:rFonts w:ascii="Times New Roman" w:eastAsia="Times New Roman" w:hAnsi="Times New Roman" w:cs="Times New Roman"/>
          <w:color w:val="000000" w:themeColor="text1"/>
          <w:sz w:val="24"/>
          <w:szCs w:val="24"/>
        </w:rPr>
        <w:t>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w:t>
      </w:r>
      <w:r w:rsidR="002F33B8">
        <w:rPr>
          <w:rFonts w:ascii="Times New Roman" w:eastAsia="Times New Roman" w:hAnsi="Times New Roman" w:cs="Times New Roman"/>
          <w:color w:val="000000" w:themeColor="text1"/>
          <w:sz w:val="24"/>
          <w:szCs w:val="24"/>
        </w:rPr>
        <w:t>Povjerenstvo</w:t>
      </w:r>
      <w:r w:rsidRPr="00E24EE7">
        <w:rPr>
          <w:rFonts w:ascii="Times New Roman" w:eastAsia="Times New Roman" w:hAnsi="Times New Roman" w:cs="Times New Roman"/>
          <w:color w:val="000000" w:themeColor="text1"/>
          <w:sz w:val="24"/>
          <w:szCs w:val="24"/>
        </w:rPr>
        <w:t xml:space="preserve"> za 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nositelju projekta</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2A5905">
      <w:pPr>
        <w:pStyle w:val="Odlomakpopisa"/>
        <w:numPr>
          <w:ilvl w:val="0"/>
          <w:numId w:val="14"/>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87FA665" w:rsidR="00D8666D"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Povjerenstvo </w:t>
      </w:r>
      <w:r w:rsidR="00D8666D" w:rsidRPr="00E24EE7">
        <w:rPr>
          <w:rFonts w:ascii="Times New Roman" w:eastAsia="Times New Roman" w:hAnsi="Times New Roman" w:cs="Times New Roman"/>
          <w:color w:val="000000" w:themeColor="text1"/>
          <w:sz w:val="24"/>
          <w:szCs w:val="24"/>
        </w:rPr>
        <w:t>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63D291ED" w:rsidR="00B0370C"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Povjerenstvo</w:t>
      </w:r>
      <w:r w:rsidR="00420B1F" w:rsidRPr="00E24EE7">
        <w:rPr>
          <w:rFonts w:ascii="Times New Roman" w:eastAsia="Times New Roman" w:hAnsi="Times New Roman" w:cs="Times New Roman"/>
          <w:color w:val="000000" w:themeColor="text1"/>
          <w:sz w:val="24"/>
          <w:szCs w:val="24"/>
        </w:rPr>
        <w:t xml:space="preserve"> za prigovore o</w:t>
      </w:r>
      <w:r w:rsidR="00D8666D" w:rsidRPr="00E24EE7">
        <w:rPr>
          <w:rFonts w:ascii="Times New Roman" w:eastAsia="Times New Roman" w:hAnsi="Times New Roman" w:cs="Times New Roman"/>
          <w:color w:val="000000" w:themeColor="text1"/>
          <w:sz w:val="24"/>
          <w:szCs w:val="24"/>
        </w:rPr>
        <w:t>dluke donosi ve</w:t>
      </w:r>
      <w:r w:rsidR="00420B1F"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02EBC17B" w:rsidR="00E359E2"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Odluke</w:t>
      </w:r>
      <w:r w:rsidR="004C4378">
        <w:rPr>
          <w:rFonts w:ascii="Times New Roman" w:eastAsia="Times New Roman" w:hAnsi="Times New Roman" w:cs="Times New Roman"/>
          <w:color w:val="000000" w:themeColor="text1"/>
          <w:sz w:val="24"/>
          <w:szCs w:val="24"/>
        </w:rPr>
        <w:t xml:space="preserve"> Povjerenstva </w:t>
      </w:r>
      <w:r w:rsidR="00420B1F" w:rsidRPr="00E24EE7">
        <w:rPr>
          <w:rFonts w:ascii="Times New Roman" w:eastAsia="Times New Roman" w:hAnsi="Times New Roman" w:cs="Times New Roman"/>
          <w:color w:val="000000" w:themeColor="text1"/>
          <w:sz w:val="24"/>
          <w:szCs w:val="24"/>
        </w:rPr>
        <w:t>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96A2FE0" w14:textId="69BB73F3"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575C1E5F" w14:textId="2EC1BD98"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Odluka Povjerenstva za prigovore bit će donesena u roku 30 dana od dana zaprimanja pisanog prigovora nositelja projekta.</w:t>
      </w:r>
    </w:p>
    <w:p w14:paraId="59934962" w14:textId="02731FCA"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159748D3" w14:textId="011CE99F"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LAG „VINODOL“ će o odluci Povjerenstva za prigovore obavijestiti nositelja projekta slanjem Odluke preporučenom poštom s povratnicom. Dostava se smatra obavljenom u trenutku kada je nositelj projekta zaprimio Odluku, a što se dokazuje potpisom na povratnici. </w:t>
      </w:r>
    </w:p>
    <w:p w14:paraId="4D3B1F0D" w14:textId="77777777" w:rsidR="000D7396" w:rsidRPr="00E24EE7" w:rsidRDefault="000D7396"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89" w:name="_Toc505958401"/>
      <w:bookmarkStart w:id="90" w:name="_Toc120174297"/>
      <w:r w:rsidRPr="00E24EE7">
        <w:rPr>
          <w:rFonts w:ascii="Times New Roman" w:hAnsi="Times New Roman" w:cs="Times New Roman"/>
          <w:b/>
          <w:color w:val="000000" w:themeColor="text1"/>
          <w:sz w:val="24"/>
          <w:szCs w:val="24"/>
        </w:rPr>
        <w:lastRenderedPageBreak/>
        <w:t>Postupak nakon odabira projekata</w:t>
      </w:r>
      <w:bookmarkEnd w:id="89"/>
      <w:bookmarkEnd w:id="90"/>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2D21FEBF"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w:t>
      </w:r>
      <w:r w:rsidR="00CC5926">
        <w:rPr>
          <w:rFonts w:ascii="Times New Roman" w:hAnsi="Times New Roman" w:cs="Times New Roman"/>
          <w:color w:val="000000" w:themeColor="text1"/>
          <w:sz w:val="24"/>
          <w:szCs w:val="24"/>
        </w:rPr>
        <w:t xml:space="preserve"> </w:t>
      </w:r>
      <w:r w:rsidR="00E359E2" w:rsidRPr="00E24EE7">
        <w:rPr>
          <w:rFonts w:ascii="Times New Roman" w:hAnsi="Times New Roman" w:cs="Times New Roman"/>
          <w:color w:val="000000" w:themeColor="text1"/>
          <w:sz w:val="24"/>
          <w:szCs w:val="24"/>
        </w:rPr>
        <w:t>LAG</w:t>
      </w:r>
      <w:r w:rsidR="00CC5926">
        <w:rPr>
          <w:rFonts w:ascii="Times New Roman" w:hAnsi="Times New Roman" w:cs="Times New Roman"/>
          <w:color w:val="000000" w:themeColor="text1"/>
          <w:sz w:val="24"/>
          <w:szCs w:val="24"/>
        </w:rPr>
        <w:t xml:space="preserve"> „VINODOL“</w:t>
      </w:r>
      <w:r w:rsidR="00E359E2" w:rsidRPr="00E24EE7">
        <w:rPr>
          <w:rFonts w:ascii="Times New Roman" w:hAnsi="Times New Roman" w:cs="Times New Roman"/>
          <w:color w:val="000000" w:themeColor="text1"/>
          <w:sz w:val="24"/>
          <w:szCs w:val="24"/>
        </w:rPr>
        <w:t xml:space="preserve"> u ime i za račun nositelja projekata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šezdeset (60) dana od dana objave konačne rang liste (konačnog izvještaja) o provedenom LAG Natječaju na mrežnoj stranici LAG-a</w:t>
      </w:r>
      <w:r w:rsidR="00CC5926">
        <w:rPr>
          <w:rFonts w:ascii="Times New Roman" w:hAnsi="Times New Roman" w:cs="Times New Roman"/>
          <w:color w:val="000000" w:themeColor="text1"/>
          <w:sz w:val="24"/>
          <w:szCs w:val="24"/>
        </w:rPr>
        <w:t xml:space="preserve"> „VINODOL“</w:t>
      </w:r>
      <w:r w:rsidR="00902995"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096E9CF1"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nositeljima projekata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15F0F034"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sklapanja Ugovora o sufinanciranju, nositelj projekt</w:t>
      </w:r>
      <w:r w:rsidR="00554317" w:rsidRPr="00E24EE7">
        <w:rPr>
          <w:rFonts w:ascii="Times New Roman" w:hAnsi="Times New Roman" w:cs="Times New Roman"/>
          <w:color w:val="000000" w:themeColor="text1"/>
          <w:sz w:val="24"/>
          <w:szCs w:val="24"/>
        </w:rPr>
        <w:t>a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" filled="f" strokeweight=".5pt">
                <v:textbo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1E2A52F2" w14:textId="74C81ECA" w:rsidR="005C5CCE"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3C522CC9"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" filled="f" strokeweight=".5pt">
                <v:textbo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3D16E140" w14:textId="77777777" w:rsidR="00AD79FD" w:rsidRDefault="00AD79FD" w:rsidP="000F4CBA">
      <w:pPr>
        <w:spacing w:after="160" w:line="259" w:lineRule="auto"/>
        <w:jc w:val="both"/>
        <w:rPr>
          <w:rFonts w:ascii="Times New Roman" w:eastAsia="Calibri" w:hAnsi="Times New Roman" w:cs="Times New Roman"/>
          <w:color w:val="000000" w:themeColor="text1"/>
          <w:sz w:val="24"/>
          <w:szCs w:val="24"/>
        </w:rPr>
      </w:pPr>
    </w:p>
    <w:p w14:paraId="7C64B116" w14:textId="203F7276" w:rsidR="000F4CBA" w:rsidRDefault="000F4CBA" w:rsidP="000F4C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Natječaj za provedbu LRS možete preuzeti putem linka: </w:t>
      </w:r>
      <w:hyperlink r:id="rId17" w:history="1">
        <w:r w:rsidRPr="005258C9">
          <w:rPr>
            <w:rStyle w:val="Hiperveza"/>
            <w:rFonts w:ascii="Times New Roman" w:hAnsi="Times New Roman" w:cs="Times New Roman"/>
            <w:sz w:val="24"/>
            <w:szCs w:val="24"/>
          </w:rPr>
          <w:t>https://www.apprrr.hr/podmjera-19-2-provedba-operacija-unutar-clld-strategije/natjecaji-za-provedbu-lokalnih-razvojnih-strategija-lrs/</w:t>
        </w:r>
      </w:hyperlink>
      <w:r>
        <w:rPr>
          <w:rFonts w:ascii="Times New Roman" w:hAnsi="Times New Roman" w:cs="Times New Roman"/>
          <w:sz w:val="24"/>
          <w:szCs w:val="24"/>
        </w:rPr>
        <w:t xml:space="preserve"> </w:t>
      </w:r>
    </w:p>
    <w:p w14:paraId="3BB9A602" w14:textId="77777777" w:rsidR="000F4CBA" w:rsidRPr="00E24EE7" w:rsidRDefault="000F4CBA">
      <w:pPr>
        <w:spacing w:after="160" w:line="259" w:lineRule="auto"/>
        <w:rPr>
          <w:rFonts w:ascii="Times New Roman" w:eastAsia="Calibri" w:hAnsi="Times New Roman" w:cs="Times New Roman"/>
          <w:color w:val="000000" w:themeColor="text1"/>
          <w:sz w:val="24"/>
          <w:szCs w:val="24"/>
        </w:rPr>
      </w:pPr>
    </w:p>
    <w:p w14:paraId="394F9514" w14:textId="7DF2B64C" w:rsidR="00B96606" w:rsidRPr="00E24EE7" w:rsidRDefault="00B96606">
      <w:pPr>
        <w:spacing w:after="160" w:line="259" w:lineRule="auto"/>
        <w:rPr>
          <w:rFonts w:ascii="Times New Roman" w:eastAsia="Calibri" w:hAnsi="Times New Roman" w:cs="Times New Roman"/>
          <w:color w:val="000000" w:themeColor="text1"/>
          <w:sz w:val="24"/>
          <w:szCs w:val="24"/>
        </w:rPr>
      </w:pPr>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1" w:name="_Toc374545430"/>
      <w:bookmarkStart w:id="92" w:name="_Toc505958402"/>
      <w:bookmarkStart w:id="93" w:name="_Toc120174298"/>
      <w:bookmarkEnd w:id="91"/>
      <w:r w:rsidRPr="00E24EE7">
        <w:rPr>
          <w:rFonts w:ascii="Times New Roman" w:hAnsi="Times New Roman" w:cs="Times New Roman"/>
          <w:b/>
          <w:color w:val="000000" w:themeColor="text1"/>
          <w:sz w:val="24"/>
          <w:szCs w:val="24"/>
        </w:rPr>
        <w:t>OBRASCI I PRILOZI</w:t>
      </w:r>
      <w:bookmarkEnd w:id="92"/>
      <w:bookmarkEnd w:id="93"/>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3AFACAF0" w:rsidR="00706FE0" w:rsidRPr="00E24EE7" w:rsidRDefault="00706FE0" w:rsidP="00CD2222">
      <w:pPr>
        <w:ind w:right="-279"/>
        <w:jc w:val="both"/>
        <w:rPr>
          <w:rFonts w:ascii="Times New Roman" w:hAnsi="Times New Roman" w:cs="Times New Roman"/>
          <w:color w:val="000000" w:themeColor="text1"/>
          <w:sz w:val="24"/>
          <w:szCs w:val="24"/>
        </w:rPr>
      </w:pPr>
    </w:p>
    <w:p w14:paraId="44827679" w14:textId="2B681F1E"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Svi nositelji projek</w:t>
      </w:r>
      <w:r w:rsidR="00AA15BB" w:rsidRPr="00E24EE7">
        <w:rPr>
          <w:rFonts w:ascii="Times New Roman" w:hAnsi="Times New Roman" w:cs="Times New Roman"/>
          <w:color w:val="000000" w:themeColor="text1"/>
          <w:sz w:val="24"/>
          <w:szCs w:val="24"/>
        </w:rPr>
        <w:t>a</w:t>
      </w:r>
      <w:r w:rsidR="00760AC7" w:rsidRPr="00E24EE7">
        <w:rPr>
          <w:rFonts w:ascii="Times New Roman" w:hAnsi="Times New Roman" w:cs="Times New Roman"/>
          <w:color w:val="000000" w:themeColor="text1"/>
          <w:sz w:val="24"/>
          <w:szCs w:val="24"/>
        </w:rPr>
        <w:t xml:space="preserve">ta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9112156"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3882B779"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Lista prihvatljivih troškova </w:t>
      </w:r>
    </w:p>
    <w:p w14:paraId="33D2B0DD" w14:textId="5EE04909" w:rsidR="00F370F1" w:rsidRPr="00E24EE7"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69FC8046" w14:textId="4D56A5E9"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 Uputa za prikupljanje ponuda i provedbu postupka jednostavne nabave</w:t>
      </w:r>
    </w:p>
    <w:p w14:paraId="7C48900F" w14:textId="77777777"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Uputa MZOIE</w:t>
      </w:r>
    </w:p>
    <w:p w14:paraId="4CD9C3D6" w14:textId="220FE2FD"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Izjava nositelja projekta o nemogućnosti odbitka pretporeza</w:t>
      </w:r>
    </w:p>
    <w:p w14:paraId="2EAEF739" w14:textId="6AA2F508"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Izjava nositelja projekta o statusu nositelja projekta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AC92F3D" w14:textId="73A2A451" w:rsidR="00AD482F"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 - Vrijednosti indeksa razvijenosti i pokazatelja za izračun indeksa razvijenosti jedinice lokalne samouprave</w:t>
      </w:r>
      <w:r w:rsidR="00AD482F" w:rsidRPr="00E24EE7">
        <w:rPr>
          <w:rFonts w:ascii="Times New Roman" w:hAnsi="Times New Roman" w:cs="Times New Roman"/>
          <w:color w:val="000000" w:themeColor="text1"/>
          <w:sz w:val="24"/>
          <w:szCs w:val="24"/>
        </w:rPr>
        <w:t xml:space="preserve"> </w:t>
      </w:r>
    </w:p>
    <w:p w14:paraId="4186B6A7" w14:textId="6C0D951B" w:rsidR="00D21DFC" w:rsidRPr="00E24EE7" w:rsidRDefault="00D21DFC" w:rsidP="00F370F1">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Prilog IX. – Kriteriji odabira</w:t>
      </w:r>
    </w:p>
    <w:sectPr w:rsidR="00D21DFC" w:rsidRPr="00E24EE7" w:rsidSect="00490E5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523D" w14:textId="77777777" w:rsidR="001A5DD5" w:rsidRDefault="001A5DD5">
      <w:r>
        <w:separator/>
      </w:r>
    </w:p>
  </w:endnote>
  <w:endnote w:type="continuationSeparator" w:id="0">
    <w:p w14:paraId="617729E4" w14:textId="77777777" w:rsidR="001A5DD5" w:rsidRDefault="001A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98833"/>
      <w:docPartObj>
        <w:docPartGallery w:val="Page Numbers (Bottom of Page)"/>
        <w:docPartUnique/>
      </w:docPartObj>
    </w:sdtPr>
    <w:sdtEndPr>
      <w:rPr>
        <w:noProof/>
      </w:rPr>
    </w:sdtEndPr>
    <w:sdtContent>
      <w:p w14:paraId="494D290D" w14:textId="6838BCCC" w:rsidR="003E098F" w:rsidRDefault="003E098F">
        <w:pPr>
          <w:pStyle w:val="Podnoje"/>
          <w:jc w:val="right"/>
        </w:pPr>
        <w:r>
          <w:fldChar w:fldCharType="begin"/>
        </w:r>
        <w:r>
          <w:instrText xml:space="preserve"> PAGE   \* MERGEFORMAT </w:instrText>
        </w:r>
        <w:r>
          <w:fldChar w:fldCharType="separate"/>
        </w:r>
        <w:r w:rsidR="003968AF">
          <w:rPr>
            <w:noProof/>
          </w:rPr>
          <w:t>28</w:t>
        </w:r>
        <w:r>
          <w:rPr>
            <w:noProof/>
          </w:rPr>
          <w:fldChar w:fldCharType="end"/>
        </w:r>
      </w:p>
    </w:sdtContent>
  </w:sdt>
  <w:p w14:paraId="302CB4C9" w14:textId="77777777" w:rsidR="003E098F" w:rsidRPr="00FD08E3" w:rsidRDefault="003E098F"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E098F" w:rsidRPr="00FD08E3" w:rsidRDefault="003E098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52EF" w14:textId="77777777" w:rsidR="001A5DD5" w:rsidRDefault="001A5DD5">
      <w:r>
        <w:separator/>
      </w:r>
    </w:p>
  </w:footnote>
  <w:footnote w:type="continuationSeparator" w:id="0">
    <w:p w14:paraId="24F8886F" w14:textId="77777777" w:rsidR="001A5DD5" w:rsidRDefault="001A5DD5">
      <w:r>
        <w:continuationSeparator/>
      </w:r>
    </w:p>
  </w:footnote>
  <w:footnote w:id="1">
    <w:p w14:paraId="28777327" w14:textId="7E5DE30B" w:rsidR="003E098F" w:rsidRPr="00FB5286" w:rsidRDefault="003E098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w:t>
      </w:r>
      <w:r w:rsidR="00FB2409">
        <w:rPr>
          <w:rFonts w:ascii="Times New Roman" w:hAnsi="Times New Roman" w:cs="Times New Roman"/>
        </w:rPr>
        <w:t xml:space="preserve"> u dokumentu LAG-ovi s popisom pripadajućih JLS (</w:t>
      </w:r>
      <w:hyperlink r:id="rId1" w:history="1">
        <w:r w:rsidR="00FB2409" w:rsidRPr="0083163E">
          <w:rPr>
            <w:rStyle w:val="Hiperveza"/>
            <w:rFonts w:ascii="Times New Roman" w:hAnsi="Times New Roman" w:cs="Times New Roman"/>
            <w:color w:val="2E74B5" w:themeColor="accent1" w:themeShade="BF"/>
            <w:shd w:val="clear" w:color="auto" w:fill="FFFFFF" w:themeFill="background1"/>
          </w:rPr>
          <w:t>https://www.apprrr.hr/wp-content/uploads/2020/02/LAG-ovi-s-popisom-pripadaju%C4%87ih-JLS.pdf</w:t>
        </w:r>
      </w:hyperlink>
      <w:r w:rsidR="00FB2409">
        <w:rPr>
          <w:rStyle w:val="Hiperveza"/>
          <w:rFonts w:ascii="Times New Roman" w:hAnsi="Times New Roman" w:cs="Times New Roman"/>
          <w:color w:val="2E74B5" w:themeColor="accent1" w:themeShade="BF"/>
          <w:shd w:val="clear" w:color="auto" w:fill="FFFFFF" w:themeFill="background1"/>
        </w:rPr>
        <w:t>)</w:t>
      </w:r>
      <w:r w:rsidRPr="001C537E">
        <w:rPr>
          <w:rFonts w:ascii="Times New Roman" w:hAnsi="Times New Roman" w:cs="Times New Roman"/>
        </w:rPr>
        <w:t xml:space="preserve"> </w:t>
      </w:r>
    </w:p>
  </w:footnote>
  <w:footnote w:id="2">
    <w:p w14:paraId="366A0183" w14:textId="404479DF" w:rsidR="003E098F" w:rsidRDefault="003E098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E098F" w:rsidRDefault="003E098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13154073" w:rsidR="003E098F" w:rsidRDefault="003E098F" w:rsidP="00E24EE7">
      <w:pPr>
        <w:pStyle w:val="Tekstfusnote"/>
        <w:jc w:val="both"/>
      </w:pPr>
      <w:r>
        <w:rPr>
          <w:rStyle w:val="Referencafusnote"/>
        </w:rPr>
        <w:footnoteRef/>
      </w:r>
      <w:r>
        <w:t xml:space="preserve"> </w:t>
      </w:r>
      <w:r w:rsidRPr="00E24EE7">
        <w:rPr>
          <w:rFonts w:ascii="Times New Roman" w:hAnsi="Times New Roman" w:cs="Times New Roman"/>
        </w:rPr>
        <w:t>Iznimno, prihvatljivo je da je JLS nositelj projekta za projekt koji se provodi na području koje se nalazi u sastavu LAG-a i u slučaju kada se sjedište JLS nalazi izvan LAG obuhvata</w:t>
      </w:r>
      <w:r w:rsidRPr="009E127F">
        <w:t xml:space="preserve">  </w:t>
      </w:r>
    </w:p>
  </w:footnote>
  <w:footnote w:id="5">
    <w:p w14:paraId="686F9089" w14:textId="28A7CF5B" w:rsidR="00EB1FDA" w:rsidRDefault="00EB1FDA">
      <w:pPr>
        <w:pStyle w:val="Tekstfusnote"/>
      </w:pPr>
      <w:r>
        <w:rPr>
          <w:rStyle w:val="Referencafusnote"/>
        </w:rPr>
        <w:footnoteRef/>
      </w:r>
      <w:r>
        <w:t xml:space="preserve"> Datum i vrijeme kada je podnesena dopuna projekta ili datum i vrijeme podnošenja prijave projekta, ukoliko nije bilo potrebe za dopunom (prijava projekta podnesena je kompletna).</w:t>
      </w:r>
    </w:p>
  </w:footnote>
  <w:footnote w:id="6">
    <w:p w14:paraId="76847297" w14:textId="027BEA66" w:rsidR="003E098F" w:rsidRDefault="003E098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3C6C12">
        <w:rPr>
          <w:rFonts w:ascii="Times New Roman" w:hAnsi="Times New Roman"/>
        </w:rPr>
        <w:t>.</w:t>
      </w:r>
    </w:p>
  </w:footnote>
  <w:footnote w:id="7">
    <w:p w14:paraId="430DF81E" w14:textId="790C3466" w:rsidR="00E35DCB" w:rsidRDefault="00E35DCB">
      <w:pPr>
        <w:pStyle w:val="Tekstfusnote"/>
      </w:pPr>
      <w:r>
        <w:rPr>
          <w:rStyle w:val="Referencafusnote"/>
        </w:rPr>
        <w:footnoteRef/>
      </w:r>
      <w:r>
        <w:t xml:space="preserve"> 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D61" w14:textId="77777777" w:rsidR="003E098F" w:rsidRDefault="003E098F">
    <w:pPr>
      <w:pStyle w:val="Zaglavlje"/>
    </w:pPr>
  </w:p>
  <w:p w14:paraId="788CB6B7" w14:textId="77777777" w:rsidR="003E098F" w:rsidRDefault="003E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96"/>
    <w:multiLevelType w:val="hybridMultilevel"/>
    <w:tmpl w:val="A6DCBCEE"/>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4"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5"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155F92"/>
    <w:multiLevelType w:val="hybridMultilevel"/>
    <w:tmpl w:val="6FD0F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5"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1D6606"/>
    <w:multiLevelType w:val="multilevel"/>
    <w:tmpl w:val="1726668C"/>
    <w:lvl w:ilvl="0">
      <w:start w:val="1"/>
      <w:numFmt w:val="none"/>
      <w:lvlText w:val="7."/>
      <w:lvlJc w:val="left"/>
      <w:pPr>
        <w:ind w:left="990" w:hanging="360"/>
      </w:pPr>
      <w:rPr>
        <w:rFonts w:cs="Times New Roman" w:hint="default"/>
      </w:rPr>
    </w:lvl>
    <w:lvl w:ilvl="1">
      <w:start w:val="1"/>
      <w:numFmt w:val="lowerLetter"/>
      <w:lvlText w:val="%2."/>
      <w:lvlJc w:val="left"/>
      <w:pPr>
        <w:ind w:left="1710" w:hanging="360"/>
      </w:pPr>
      <w:rPr>
        <w:rFonts w:cs="Times New Roman" w:hint="default"/>
      </w:rPr>
    </w:lvl>
    <w:lvl w:ilvl="2">
      <w:start w:val="1"/>
      <w:numFmt w:val="lowerRoman"/>
      <w:lvlText w:val="%3."/>
      <w:lvlJc w:val="right"/>
      <w:pPr>
        <w:ind w:left="2430" w:hanging="180"/>
      </w:pPr>
      <w:rPr>
        <w:rFonts w:cs="Times New Roman" w:hint="default"/>
      </w:rPr>
    </w:lvl>
    <w:lvl w:ilvl="3">
      <w:start w:val="1"/>
      <w:numFmt w:val="decimal"/>
      <w:lvlText w:val="%4."/>
      <w:lvlJc w:val="left"/>
      <w:pPr>
        <w:ind w:left="3150" w:hanging="360"/>
      </w:pPr>
      <w:rPr>
        <w:rFonts w:cs="Times New Roman" w:hint="default"/>
      </w:rPr>
    </w:lvl>
    <w:lvl w:ilvl="4">
      <w:start w:val="1"/>
      <w:numFmt w:val="lowerLetter"/>
      <w:lvlText w:val="%5."/>
      <w:lvlJc w:val="left"/>
      <w:pPr>
        <w:ind w:left="3870" w:hanging="360"/>
      </w:pPr>
      <w:rPr>
        <w:rFonts w:cs="Times New Roman" w:hint="default"/>
      </w:rPr>
    </w:lvl>
    <w:lvl w:ilvl="5">
      <w:start w:val="1"/>
      <w:numFmt w:val="lowerRoman"/>
      <w:lvlText w:val="%6."/>
      <w:lvlJc w:val="right"/>
      <w:pPr>
        <w:ind w:left="4590" w:hanging="180"/>
      </w:pPr>
      <w:rPr>
        <w:rFonts w:cs="Times New Roman" w:hint="default"/>
      </w:rPr>
    </w:lvl>
    <w:lvl w:ilvl="6">
      <w:start w:val="1"/>
      <w:numFmt w:val="decimal"/>
      <w:lvlText w:val="%7."/>
      <w:lvlJc w:val="left"/>
      <w:pPr>
        <w:ind w:left="5310" w:hanging="360"/>
      </w:pPr>
      <w:rPr>
        <w:rFonts w:cs="Times New Roman" w:hint="default"/>
      </w:rPr>
    </w:lvl>
    <w:lvl w:ilvl="7">
      <w:start w:val="1"/>
      <w:numFmt w:val="lowerLetter"/>
      <w:lvlText w:val="%8."/>
      <w:lvlJc w:val="left"/>
      <w:pPr>
        <w:ind w:left="6030" w:hanging="360"/>
      </w:pPr>
      <w:rPr>
        <w:rFonts w:cs="Times New Roman" w:hint="default"/>
      </w:rPr>
    </w:lvl>
    <w:lvl w:ilvl="8">
      <w:start w:val="1"/>
      <w:numFmt w:val="lowerRoman"/>
      <w:lvlText w:val="%9."/>
      <w:lvlJc w:val="right"/>
      <w:pPr>
        <w:ind w:left="6750" w:hanging="180"/>
      </w:pPr>
      <w:rPr>
        <w:rFonts w:cs="Times New Roman" w:hint="default"/>
      </w:r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E64F75"/>
    <w:multiLevelType w:val="hybridMultilevel"/>
    <w:tmpl w:val="A5C03D3E"/>
    <w:lvl w:ilvl="0" w:tplc="8DF0A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16cid:durableId="1141074551">
    <w:abstractNumId w:val="31"/>
  </w:num>
  <w:num w:numId="2" w16cid:durableId="114257505">
    <w:abstractNumId w:val="19"/>
  </w:num>
  <w:num w:numId="3" w16cid:durableId="2006320936">
    <w:abstractNumId w:val="11"/>
  </w:num>
  <w:num w:numId="4" w16cid:durableId="103624033">
    <w:abstractNumId w:val="6"/>
  </w:num>
  <w:num w:numId="5" w16cid:durableId="32535856">
    <w:abstractNumId w:val="4"/>
  </w:num>
  <w:num w:numId="6" w16cid:durableId="189297316">
    <w:abstractNumId w:val="35"/>
  </w:num>
  <w:num w:numId="7" w16cid:durableId="391781542">
    <w:abstractNumId w:val="23"/>
  </w:num>
  <w:num w:numId="8" w16cid:durableId="164168241">
    <w:abstractNumId w:val="38"/>
  </w:num>
  <w:num w:numId="9" w16cid:durableId="1112702571">
    <w:abstractNumId w:val="13"/>
  </w:num>
  <w:num w:numId="10" w16cid:durableId="2003925217">
    <w:abstractNumId w:val="37"/>
  </w:num>
  <w:num w:numId="11" w16cid:durableId="1859192774">
    <w:abstractNumId w:val="10"/>
  </w:num>
  <w:num w:numId="12" w16cid:durableId="1815875810">
    <w:abstractNumId w:val="18"/>
  </w:num>
  <w:num w:numId="13" w16cid:durableId="1017538553">
    <w:abstractNumId w:val="5"/>
  </w:num>
  <w:num w:numId="14" w16cid:durableId="92557929">
    <w:abstractNumId w:val="34"/>
  </w:num>
  <w:num w:numId="15" w16cid:durableId="1610510144">
    <w:abstractNumId w:val="22"/>
  </w:num>
  <w:num w:numId="16" w16cid:durableId="221987553">
    <w:abstractNumId w:val="14"/>
  </w:num>
  <w:num w:numId="17" w16cid:durableId="2070154864">
    <w:abstractNumId w:val="15"/>
  </w:num>
  <w:num w:numId="18" w16cid:durableId="1740983968">
    <w:abstractNumId w:val="30"/>
  </w:num>
  <w:num w:numId="19" w16cid:durableId="1157647787">
    <w:abstractNumId w:val="39"/>
  </w:num>
  <w:num w:numId="20" w16cid:durableId="310208443">
    <w:abstractNumId w:val="12"/>
  </w:num>
  <w:num w:numId="21" w16cid:durableId="2103798904">
    <w:abstractNumId w:val="25"/>
  </w:num>
  <w:num w:numId="22" w16cid:durableId="48694896">
    <w:abstractNumId w:val="20"/>
  </w:num>
  <w:num w:numId="23" w16cid:durableId="886527018">
    <w:abstractNumId w:val="7"/>
  </w:num>
  <w:num w:numId="24" w16cid:durableId="838157019">
    <w:abstractNumId w:val="1"/>
  </w:num>
  <w:num w:numId="25" w16cid:durableId="1654211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5928107">
    <w:abstractNumId w:val="9"/>
  </w:num>
  <w:num w:numId="27" w16cid:durableId="1433477172">
    <w:abstractNumId w:val="27"/>
  </w:num>
  <w:num w:numId="28" w16cid:durableId="1311473171">
    <w:abstractNumId w:val="8"/>
  </w:num>
  <w:num w:numId="29" w16cid:durableId="529612951">
    <w:abstractNumId w:val="28"/>
  </w:num>
  <w:num w:numId="30" w16cid:durableId="349256918">
    <w:abstractNumId w:val="4"/>
  </w:num>
  <w:num w:numId="31" w16cid:durableId="998113325">
    <w:abstractNumId w:val="4"/>
  </w:num>
  <w:num w:numId="32" w16cid:durableId="1642812162">
    <w:abstractNumId w:val="17"/>
  </w:num>
  <w:num w:numId="33" w16cid:durableId="1996955114">
    <w:abstractNumId w:val="3"/>
  </w:num>
  <w:num w:numId="34" w16cid:durableId="1535844224">
    <w:abstractNumId w:val="4"/>
  </w:num>
  <w:num w:numId="35" w16cid:durableId="456291312">
    <w:abstractNumId w:val="2"/>
  </w:num>
  <w:num w:numId="36" w16cid:durableId="278343269">
    <w:abstractNumId w:val="32"/>
  </w:num>
  <w:num w:numId="37" w16cid:durableId="2138063630">
    <w:abstractNumId w:val="26"/>
  </w:num>
  <w:num w:numId="38" w16cid:durableId="581336579">
    <w:abstractNumId w:val="36"/>
  </w:num>
  <w:num w:numId="39" w16cid:durableId="1078333545">
    <w:abstractNumId w:val="0"/>
  </w:num>
  <w:num w:numId="40" w16cid:durableId="344677743">
    <w:abstractNumId w:val="16"/>
  </w:num>
  <w:num w:numId="41" w16cid:durableId="963459935">
    <w:abstractNumId w:val="29"/>
  </w:num>
  <w:num w:numId="42" w16cid:durableId="1630159076">
    <w:abstractNumId w:val="24"/>
  </w:num>
  <w:num w:numId="43" w16cid:durableId="1595505629">
    <w:abstractNumId w:val="21"/>
  </w:num>
  <w:num w:numId="44" w16cid:durableId="56048668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3781"/>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4972"/>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396"/>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432A"/>
    <w:rsid w:val="00180749"/>
    <w:rsid w:val="001833AE"/>
    <w:rsid w:val="001839B3"/>
    <w:rsid w:val="00186F6D"/>
    <w:rsid w:val="001873E3"/>
    <w:rsid w:val="00187701"/>
    <w:rsid w:val="00187842"/>
    <w:rsid w:val="00187B55"/>
    <w:rsid w:val="00187D9D"/>
    <w:rsid w:val="0019187B"/>
    <w:rsid w:val="00193732"/>
    <w:rsid w:val="0019520B"/>
    <w:rsid w:val="001962B7"/>
    <w:rsid w:val="0019751F"/>
    <w:rsid w:val="0019777B"/>
    <w:rsid w:val="00197D9C"/>
    <w:rsid w:val="00197F4B"/>
    <w:rsid w:val="001A14B5"/>
    <w:rsid w:val="001A3426"/>
    <w:rsid w:val="001A50E4"/>
    <w:rsid w:val="001A5DD5"/>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1F7257"/>
    <w:rsid w:val="002000D7"/>
    <w:rsid w:val="0020071B"/>
    <w:rsid w:val="00201140"/>
    <w:rsid w:val="002017F7"/>
    <w:rsid w:val="00203645"/>
    <w:rsid w:val="0020432E"/>
    <w:rsid w:val="0020641A"/>
    <w:rsid w:val="00207459"/>
    <w:rsid w:val="00207599"/>
    <w:rsid w:val="002106B1"/>
    <w:rsid w:val="00211992"/>
    <w:rsid w:val="00211CA5"/>
    <w:rsid w:val="00214363"/>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2B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33B8"/>
    <w:rsid w:val="002F4BAD"/>
    <w:rsid w:val="002F6E22"/>
    <w:rsid w:val="002F7650"/>
    <w:rsid w:val="00300DCB"/>
    <w:rsid w:val="00300FDB"/>
    <w:rsid w:val="003015EB"/>
    <w:rsid w:val="00301FBB"/>
    <w:rsid w:val="0030395C"/>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515"/>
    <w:rsid w:val="00315D71"/>
    <w:rsid w:val="003175C8"/>
    <w:rsid w:val="00317F47"/>
    <w:rsid w:val="00321B54"/>
    <w:rsid w:val="00321CAD"/>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307F"/>
    <w:rsid w:val="00334C8B"/>
    <w:rsid w:val="0034004F"/>
    <w:rsid w:val="0034081D"/>
    <w:rsid w:val="003417D2"/>
    <w:rsid w:val="00345C0D"/>
    <w:rsid w:val="00345C32"/>
    <w:rsid w:val="00345F62"/>
    <w:rsid w:val="00346F86"/>
    <w:rsid w:val="00347915"/>
    <w:rsid w:val="003518CD"/>
    <w:rsid w:val="00351CCB"/>
    <w:rsid w:val="00352050"/>
    <w:rsid w:val="00352A2D"/>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804"/>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8AF"/>
    <w:rsid w:val="00396C5B"/>
    <w:rsid w:val="003A0BE8"/>
    <w:rsid w:val="003A23E6"/>
    <w:rsid w:val="003A43BE"/>
    <w:rsid w:val="003A46A5"/>
    <w:rsid w:val="003A5CBD"/>
    <w:rsid w:val="003A6020"/>
    <w:rsid w:val="003A765B"/>
    <w:rsid w:val="003B0620"/>
    <w:rsid w:val="003B0D05"/>
    <w:rsid w:val="003B1320"/>
    <w:rsid w:val="003B1510"/>
    <w:rsid w:val="003B2179"/>
    <w:rsid w:val="003B4545"/>
    <w:rsid w:val="003B4AB6"/>
    <w:rsid w:val="003B683E"/>
    <w:rsid w:val="003B6D34"/>
    <w:rsid w:val="003B6E2B"/>
    <w:rsid w:val="003B6FAF"/>
    <w:rsid w:val="003B7490"/>
    <w:rsid w:val="003C065D"/>
    <w:rsid w:val="003C0EF9"/>
    <w:rsid w:val="003C1C5D"/>
    <w:rsid w:val="003C3E2E"/>
    <w:rsid w:val="003C5EC5"/>
    <w:rsid w:val="003C6C12"/>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4BB0"/>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87D"/>
    <w:rsid w:val="00401DBA"/>
    <w:rsid w:val="004033E7"/>
    <w:rsid w:val="004042BA"/>
    <w:rsid w:val="004048CF"/>
    <w:rsid w:val="004054B9"/>
    <w:rsid w:val="004066BA"/>
    <w:rsid w:val="0040684B"/>
    <w:rsid w:val="00406A44"/>
    <w:rsid w:val="00406AFE"/>
    <w:rsid w:val="00406B0C"/>
    <w:rsid w:val="00406B13"/>
    <w:rsid w:val="004070F4"/>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6E26"/>
    <w:rsid w:val="00477AE6"/>
    <w:rsid w:val="00477E37"/>
    <w:rsid w:val="00480201"/>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37DD"/>
    <w:rsid w:val="004C4378"/>
    <w:rsid w:val="004C4E0D"/>
    <w:rsid w:val="004C57B1"/>
    <w:rsid w:val="004C5955"/>
    <w:rsid w:val="004C7DB8"/>
    <w:rsid w:val="004C7E30"/>
    <w:rsid w:val="004C7EA5"/>
    <w:rsid w:val="004D17F6"/>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58BB"/>
    <w:rsid w:val="0053756F"/>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B2"/>
    <w:rsid w:val="005706C3"/>
    <w:rsid w:val="005706F6"/>
    <w:rsid w:val="00570E48"/>
    <w:rsid w:val="005716DA"/>
    <w:rsid w:val="005717C4"/>
    <w:rsid w:val="00571B27"/>
    <w:rsid w:val="00572A4D"/>
    <w:rsid w:val="00572EA7"/>
    <w:rsid w:val="005741D0"/>
    <w:rsid w:val="00576350"/>
    <w:rsid w:val="0057672D"/>
    <w:rsid w:val="0058190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0653"/>
    <w:rsid w:val="005A209C"/>
    <w:rsid w:val="005A2267"/>
    <w:rsid w:val="005A2377"/>
    <w:rsid w:val="005A3FE6"/>
    <w:rsid w:val="005A64FD"/>
    <w:rsid w:val="005A7AA9"/>
    <w:rsid w:val="005B0341"/>
    <w:rsid w:val="005B04C3"/>
    <w:rsid w:val="005B0CDB"/>
    <w:rsid w:val="005B1005"/>
    <w:rsid w:val="005B10F1"/>
    <w:rsid w:val="005B3081"/>
    <w:rsid w:val="005B3F47"/>
    <w:rsid w:val="005B4149"/>
    <w:rsid w:val="005B4BE6"/>
    <w:rsid w:val="005B5E7C"/>
    <w:rsid w:val="005C10F2"/>
    <w:rsid w:val="005C2676"/>
    <w:rsid w:val="005C3CDB"/>
    <w:rsid w:val="005C430C"/>
    <w:rsid w:val="005C48DA"/>
    <w:rsid w:val="005C5CCE"/>
    <w:rsid w:val="005C5E8C"/>
    <w:rsid w:val="005C60B4"/>
    <w:rsid w:val="005C7095"/>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5D28"/>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EFE"/>
    <w:rsid w:val="00612FD0"/>
    <w:rsid w:val="00613530"/>
    <w:rsid w:val="00613A1C"/>
    <w:rsid w:val="0061568E"/>
    <w:rsid w:val="006168E6"/>
    <w:rsid w:val="00620214"/>
    <w:rsid w:val="0062384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E66"/>
    <w:rsid w:val="00684F1C"/>
    <w:rsid w:val="00685569"/>
    <w:rsid w:val="006855C4"/>
    <w:rsid w:val="00686065"/>
    <w:rsid w:val="00687222"/>
    <w:rsid w:val="00694F21"/>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197C"/>
    <w:rsid w:val="006E23D9"/>
    <w:rsid w:val="006E2B70"/>
    <w:rsid w:val="006E331D"/>
    <w:rsid w:val="006E366E"/>
    <w:rsid w:val="006E4329"/>
    <w:rsid w:val="006E6B97"/>
    <w:rsid w:val="006F07D3"/>
    <w:rsid w:val="006F080C"/>
    <w:rsid w:val="006F2B1B"/>
    <w:rsid w:val="006F3CDB"/>
    <w:rsid w:val="006F51D9"/>
    <w:rsid w:val="006F5C02"/>
    <w:rsid w:val="006F5EC4"/>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1F6C"/>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B1C"/>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D76FF"/>
    <w:rsid w:val="007E10E8"/>
    <w:rsid w:val="007E1E26"/>
    <w:rsid w:val="007E2411"/>
    <w:rsid w:val="007E2DBE"/>
    <w:rsid w:val="007E30B6"/>
    <w:rsid w:val="007E5B6A"/>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2FEE"/>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372"/>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5DD0"/>
    <w:rsid w:val="008F6C07"/>
    <w:rsid w:val="008F6F71"/>
    <w:rsid w:val="00901A6E"/>
    <w:rsid w:val="00902396"/>
    <w:rsid w:val="00902995"/>
    <w:rsid w:val="00902F50"/>
    <w:rsid w:val="00903708"/>
    <w:rsid w:val="00903E89"/>
    <w:rsid w:val="009047E4"/>
    <w:rsid w:val="009059C1"/>
    <w:rsid w:val="00906A73"/>
    <w:rsid w:val="00906B44"/>
    <w:rsid w:val="00907014"/>
    <w:rsid w:val="009076D2"/>
    <w:rsid w:val="0091018D"/>
    <w:rsid w:val="0091199E"/>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74A"/>
    <w:rsid w:val="009819F3"/>
    <w:rsid w:val="00982F48"/>
    <w:rsid w:val="0098335D"/>
    <w:rsid w:val="009833B0"/>
    <w:rsid w:val="00984400"/>
    <w:rsid w:val="0098628F"/>
    <w:rsid w:val="00987A75"/>
    <w:rsid w:val="00991C71"/>
    <w:rsid w:val="0099666A"/>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005"/>
    <w:rsid w:val="009D0ABC"/>
    <w:rsid w:val="009D0B45"/>
    <w:rsid w:val="009D0C5C"/>
    <w:rsid w:val="009D14FB"/>
    <w:rsid w:val="009D2A81"/>
    <w:rsid w:val="009D3EFB"/>
    <w:rsid w:val="009D44CC"/>
    <w:rsid w:val="009D4D6A"/>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46E"/>
    <w:rsid w:val="00A16B1C"/>
    <w:rsid w:val="00A21EAE"/>
    <w:rsid w:val="00A24487"/>
    <w:rsid w:val="00A26DCD"/>
    <w:rsid w:val="00A27F58"/>
    <w:rsid w:val="00A30368"/>
    <w:rsid w:val="00A306EF"/>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B00"/>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8B7"/>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2C7"/>
    <w:rsid w:val="00AD2DA8"/>
    <w:rsid w:val="00AD40A5"/>
    <w:rsid w:val="00AD482F"/>
    <w:rsid w:val="00AD4D5A"/>
    <w:rsid w:val="00AD6B17"/>
    <w:rsid w:val="00AD7235"/>
    <w:rsid w:val="00AD79FD"/>
    <w:rsid w:val="00AD7AA6"/>
    <w:rsid w:val="00AE0724"/>
    <w:rsid w:val="00AE0D4A"/>
    <w:rsid w:val="00AE62B1"/>
    <w:rsid w:val="00AE7B5F"/>
    <w:rsid w:val="00AF0BB7"/>
    <w:rsid w:val="00AF27F7"/>
    <w:rsid w:val="00AF2F2B"/>
    <w:rsid w:val="00AF3523"/>
    <w:rsid w:val="00AF4D2E"/>
    <w:rsid w:val="00AF4DF9"/>
    <w:rsid w:val="00AF5BFD"/>
    <w:rsid w:val="00AF5EA2"/>
    <w:rsid w:val="00AF6A90"/>
    <w:rsid w:val="00AF6CE4"/>
    <w:rsid w:val="00AF6D47"/>
    <w:rsid w:val="00AF7F69"/>
    <w:rsid w:val="00B00270"/>
    <w:rsid w:val="00B01AE6"/>
    <w:rsid w:val="00B02264"/>
    <w:rsid w:val="00B02C35"/>
    <w:rsid w:val="00B0370C"/>
    <w:rsid w:val="00B03830"/>
    <w:rsid w:val="00B04B27"/>
    <w:rsid w:val="00B065DA"/>
    <w:rsid w:val="00B0691C"/>
    <w:rsid w:val="00B10B32"/>
    <w:rsid w:val="00B11407"/>
    <w:rsid w:val="00B11518"/>
    <w:rsid w:val="00B11747"/>
    <w:rsid w:val="00B12018"/>
    <w:rsid w:val="00B12E71"/>
    <w:rsid w:val="00B13271"/>
    <w:rsid w:val="00B13A02"/>
    <w:rsid w:val="00B14B2A"/>
    <w:rsid w:val="00B15F2C"/>
    <w:rsid w:val="00B16520"/>
    <w:rsid w:val="00B20DB2"/>
    <w:rsid w:val="00B21B9D"/>
    <w:rsid w:val="00B22083"/>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8FA"/>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6FE3"/>
    <w:rsid w:val="00B771BF"/>
    <w:rsid w:val="00B80F55"/>
    <w:rsid w:val="00B81082"/>
    <w:rsid w:val="00B83A2A"/>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614"/>
    <w:rsid w:val="00BC47CB"/>
    <w:rsid w:val="00BC4BA9"/>
    <w:rsid w:val="00BC4FD8"/>
    <w:rsid w:val="00BC57A7"/>
    <w:rsid w:val="00BC7079"/>
    <w:rsid w:val="00BC77FB"/>
    <w:rsid w:val="00BD0696"/>
    <w:rsid w:val="00BD0B66"/>
    <w:rsid w:val="00BD2832"/>
    <w:rsid w:val="00BD2F30"/>
    <w:rsid w:val="00BD3345"/>
    <w:rsid w:val="00BD4A0A"/>
    <w:rsid w:val="00BD532D"/>
    <w:rsid w:val="00BD6612"/>
    <w:rsid w:val="00BD774F"/>
    <w:rsid w:val="00BD7DCF"/>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BF6AC2"/>
    <w:rsid w:val="00C002B9"/>
    <w:rsid w:val="00C02244"/>
    <w:rsid w:val="00C0346E"/>
    <w:rsid w:val="00C04AC3"/>
    <w:rsid w:val="00C062A4"/>
    <w:rsid w:val="00C07AC9"/>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9352E"/>
    <w:rsid w:val="00C94BE2"/>
    <w:rsid w:val="00C94FD1"/>
    <w:rsid w:val="00C95316"/>
    <w:rsid w:val="00C95375"/>
    <w:rsid w:val="00C95B02"/>
    <w:rsid w:val="00C9753F"/>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99"/>
    <w:rsid w:val="00CC52C1"/>
    <w:rsid w:val="00CC5926"/>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2A9B"/>
    <w:rsid w:val="00D138D9"/>
    <w:rsid w:val="00D14B67"/>
    <w:rsid w:val="00D1509C"/>
    <w:rsid w:val="00D15D4F"/>
    <w:rsid w:val="00D164F5"/>
    <w:rsid w:val="00D16FE5"/>
    <w:rsid w:val="00D17DDD"/>
    <w:rsid w:val="00D2115F"/>
    <w:rsid w:val="00D21DFC"/>
    <w:rsid w:val="00D21F65"/>
    <w:rsid w:val="00D2229E"/>
    <w:rsid w:val="00D23B7B"/>
    <w:rsid w:val="00D245F1"/>
    <w:rsid w:val="00D246F3"/>
    <w:rsid w:val="00D26ECA"/>
    <w:rsid w:val="00D272C6"/>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BA"/>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324"/>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4EE7"/>
    <w:rsid w:val="00E25088"/>
    <w:rsid w:val="00E25B09"/>
    <w:rsid w:val="00E2659D"/>
    <w:rsid w:val="00E26FD3"/>
    <w:rsid w:val="00E27D50"/>
    <w:rsid w:val="00E27D5F"/>
    <w:rsid w:val="00E305CF"/>
    <w:rsid w:val="00E30D45"/>
    <w:rsid w:val="00E3113A"/>
    <w:rsid w:val="00E31DB7"/>
    <w:rsid w:val="00E32833"/>
    <w:rsid w:val="00E359E2"/>
    <w:rsid w:val="00E35DCB"/>
    <w:rsid w:val="00E368AF"/>
    <w:rsid w:val="00E37203"/>
    <w:rsid w:val="00E37570"/>
    <w:rsid w:val="00E40E9A"/>
    <w:rsid w:val="00E41DA3"/>
    <w:rsid w:val="00E4568D"/>
    <w:rsid w:val="00E45DE0"/>
    <w:rsid w:val="00E46A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BBA"/>
    <w:rsid w:val="00E96F89"/>
    <w:rsid w:val="00EA1047"/>
    <w:rsid w:val="00EA1F48"/>
    <w:rsid w:val="00EA373D"/>
    <w:rsid w:val="00EA4DA5"/>
    <w:rsid w:val="00EA5807"/>
    <w:rsid w:val="00EA6709"/>
    <w:rsid w:val="00EB1E48"/>
    <w:rsid w:val="00EB1FDA"/>
    <w:rsid w:val="00EB261B"/>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002C"/>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3EC"/>
    <w:rsid w:val="00F65F08"/>
    <w:rsid w:val="00F673F2"/>
    <w:rsid w:val="00F67944"/>
    <w:rsid w:val="00F71D6B"/>
    <w:rsid w:val="00F72B87"/>
    <w:rsid w:val="00F72D69"/>
    <w:rsid w:val="00F73439"/>
    <w:rsid w:val="00F736A4"/>
    <w:rsid w:val="00F75534"/>
    <w:rsid w:val="00F75A6B"/>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2409"/>
    <w:rsid w:val="00FB3106"/>
    <w:rsid w:val="00FB32BB"/>
    <w:rsid w:val="00FB51F4"/>
    <w:rsid w:val="00FB5208"/>
    <w:rsid w:val="00FB5286"/>
    <w:rsid w:val="00FB65E9"/>
    <w:rsid w:val="00FB6B41"/>
    <w:rsid w:val="00FB7E21"/>
    <w:rsid w:val="00FC01C3"/>
    <w:rsid w:val="00FC26F1"/>
    <w:rsid w:val="00FC2A6D"/>
    <w:rsid w:val="00FC4AF3"/>
    <w:rsid w:val="00FC5425"/>
    <w:rsid w:val="00FC54D0"/>
    <w:rsid w:val="00FC65B8"/>
    <w:rsid w:val="00FC7A9B"/>
    <w:rsid w:val="00FD040D"/>
    <w:rsid w:val="00FD05E1"/>
    <w:rsid w:val="00FD2A49"/>
    <w:rsid w:val="00FD2AFE"/>
    <w:rsid w:val="00FD2ECF"/>
    <w:rsid w:val="00FD40EC"/>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1E58"/>
    <w:rsid w:val="00FF31A3"/>
    <w:rsid w:val="00FF320A"/>
    <w:rsid w:val="00FF374D"/>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E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hyperlink" Target="https://www.apprrr.hr/podmjera-19-2-provedba-operacija-unutar-clld-strategije/natjecaji-za-provedbu-lokalnih-razvojnih-strategija-lrs/" TargetMode="External"/><Relationship Id="rId2" Type="http://schemas.openxmlformats.org/officeDocument/2006/relationships/numbering" Target="numbering.xml"/><Relationship Id="rId16" Type="http://schemas.openxmlformats.org/officeDocument/2006/relationships/hyperlink" Target="mailto:leader.isplate@apprrr.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vinodol.hr" TargetMode="External"/><Relationship Id="rId5" Type="http://schemas.openxmlformats.org/officeDocument/2006/relationships/webSettings" Target="webSettings.xml"/><Relationship Id="rId15" Type="http://schemas.openxmlformats.org/officeDocument/2006/relationships/hyperlink" Target="http://www.lag-vinodol.hr" TargetMode="External"/><Relationship Id="rId10" Type="http://schemas.openxmlformats.org/officeDocument/2006/relationships/hyperlink" Target="http://www.lag-vinodol.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ag.vinodol@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2EF-F257-48C0-8B32-8BB63B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27</Pages>
  <Words>7752</Words>
  <Characters>44192</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Marjan Baričević</cp:lastModifiedBy>
  <cp:revision>88</cp:revision>
  <cp:lastPrinted>2018-02-09T15:23:00Z</cp:lastPrinted>
  <dcterms:created xsi:type="dcterms:W3CDTF">2021-03-25T13:51:00Z</dcterms:created>
  <dcterms:modified xsi:type="dcterms:W3CDTF">2023-02-13T11:31:00Z</dcterms:modified>
</cp:coreProperties>
</file>