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696CFB" w:rsidRPr="00696CFB" w14:paraId="3389F899" w14:textId="77777777" w:rsidTr="00193BCB">
        <w:tc>
          <w:tcPr>
            <w:tcW w:w="2160" w:type="dxa"/>
            <w:shd w:val="clear" w:color="auto" w:fill="auto"/>
          </w:tcPr>
          <w:p w14:paraId="229E720C" w14:textId="77777777" w:rsidR="00696CFB" w:rsidRPr="00696CFB" w:rsidRDefault="00696CFB" w:rsidP="00696C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napToGrid w:val="0"/>
                <w:lang w:val="en-US"/>
              </w:rPr>
            </w:pPr>
            <w:r w:rsidRPr="00696CFB">
              <w:rPr>
                <w:rFonts w:ascii="Calibri" w:eastAsia="Calibri" w:hAnsi="Calibri" w:cs="Times New Roman"/>
                <w:b/>
                <w:lang w:val="en-US"/>
              </w:rPr>
              <w:t>Prilog I</w:t>
            </w:r>
            <w:r>
              <w:rPr>
                <w:rFonts w:ascii="Calibri" w:eastAsia="Calibri" w:hAnsi="Calibri" w:cs="Times New Roman"/>
                <w:b/>
                <w:lang w:val="en-US"/>
              </w:rPr>
              <w:t>X</w:t>
            </w:r>
            <w:r w:rsidRPr="00696CFB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</w:tr>
    </w:tbl>
    <w:p w14:paraId="4F12CEF0" w14:textId="77777777" w:rsidR="000C7D25" w:rsidRPr="003E341C" w:rsidRDefault="00620383" w:rsidP="00DA3C7F">
      <w:pPr>
        <w:spacing w:after="0"/>
        <w:rPr>
          <w:sz w:val="12"/>
        </w:rPr>
      </w:pPr>
    </w:p>
    <w:p w14:paraId="1F99A05C" w14:textId="45517BE3" w:rsidR="00696CFB" w:rsidRDefault="00696CFB" w:rsidP="00696CFB">
      <w:pPr>
        <w:spacing w:after="0"/>
        <w:jc w:val="both"/>
      </w:pPr>
      <w:r>
        <w:rPr>
          <w:rFonts w:eastAsia="Times New Roman" w:cstheme="minorHAnsi"/>
          <w:b/>
          <w:color w:val="000000"/>
        </w:rPr>
        <w:t>Kriterij</w:t>
      </w:r>
      <w:r w:rsidR="00746634">
        <w:rPr>
          <w:rFonts w:eastAsia="Times New Roman" w:cstheme="minorHAnsi"/>
          <w:b/>
          <w:color w:val="000000"/>
        </w:rPr>
        <w:t>i</w:t>
      </w:r>
      <w:r>
        <w:rPr>
          <w:rFonts w:eastAsia="Times New Roman" w:cstheme="minorHAnsi"/>
          <w:b/>
          <w:color w:val="000000"/>
        </w:rPr>
        <w:t xml:space="preserve"> odabira za M 3.1.1. </w:t>
      </w:r>
      <w:r w:rsidR="00C3094E">
        <w:rPr>
          <w:rFonts w:eastAsia="Times New Roman" w:cstheme="minorHAnsi"/>
          <w:b/>
          <w:color w:val="000000"/>
        </w:rPr>
        <w:t>„P</w:t>
      </w:r>
      <w:r w:rsidRPr="006C4E44">
        <w:rPr>
          <w:rFonts w:eastAsia="Times New Roman" w:cstheme="minorHAnsi"/>
          <w:b/>
          <w:color w:val="000000"/>
        </w:rPr>
        <w:t xml:space="preserve">okretanje, poboljšanje ili proširenje lokalnih temeljnih usluga za ruralno </w:t>
      </w:r>
      <w:r w:rsidRPr="00F1536A">
        <w:rPr>
          <w:rFonts w:eastAsia="Times New Roman" w:cstheme="minorHAnsi"/>
          <w:b/>
          <w:color w:val="000000"/>
        </w:rPr>
        <w:t>stanovništvo</w:t>
      </w:r>
      <w:r w:rsidR="00C3094E">
        <w:rPr>
          <w:rFonts w:eastAsia="Times New Roman" w:cstheme="minorHAnsi"/>
          <w:b/>
          <w:color w:val="000000"/>
        </w:rPr>
        <w:t>“</w:t>
      </w:r>
      <w:r w:rsidRPr="00F1536A">
        <w:rPr>
          <w:rFonts w:cstheme="minorHAnsi"/>
          <w:b/>
        </w:rPr>
        <w:t xml:space="preserve"> (7.4.</w:t>
      </w:r>
      <w:r>
        <w:rPr>
          <w:rFonts w:cstheme="minorHAnsi"/>
          <w:b/>
        </w:rPr>
        <w:t>1</w:t>
      </w:r>
      <w:r w:rsidR="00C3094E">
        <w:rPr>
          <w:rFonts w:cstheme="minorHAnsi"/>
          <w:b/>
        </w:rPr>
        <w:t>.</w:t>
      </w:r>
      <w:r w:rsidRPr="00F1536A">
        <w:rPr>
          <w:rFonts w:cstheme="minorHAnsi"/>
          <w:b/>
        </w:rPr>
        <w:t xml:space="preserve"> PRR)</w:t>
      </w:r>
    </w:p>
    <w:tbl>
      <w:tblPr>
        <w:tblStyle w:val="Svijetlatablicareetke1-isticanje6"/>
        <w:tblW w:w="936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36"/>
        <w:gridCol w:w="7889"/>
        <w:gridCol w:w="1135"/>
      </w:tblGrid>
      <w:tr w:rsidR="00696CFB" w:rsidRPr="00521C33" w14:paraId="57E814B1" w14:textId="77777777" w:rsidTr="00193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538135" w:themeFill="accent6" w:themeFillShade="BF"/>
            <w:noWrap/>
            <w:vAlign w:val="center"/>
            <w:hideMark/>
          </w:tcPr>
          <w:p w14:paraId="63A9B4B9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KRITERIJI  ODABIRA MJERE 3.1.1. (PRR - TO 7.4.1.)</w:t>
            </w:r>
          </w:p>
        </w:tc>
        <w:tc>
          <w:tcPr>
            <w:tcW w:w="1135" w:type="dxa"/>
            <w:shd w:val="clear" w:color="auto" w:fill="538135" w:themeFill="accent6" w:themeFillShade="BF"/>
            <w:noWrap/>
            <w:vAlign w:val="center"/>
            <w:hideMark/>
          </w:tcPr>
          <w:p w14:paraId="00870C1B" w14:textId="77777777" w:rsidR="00696CFB" w:rsidRPr="00521C33" w:rsidRDefault="00696CFB" w:rsidP="00193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BODOVI</w:t>
            </w:r>
          </w:p>
        </w:tc>
      </w:tr>
      <w:tr w:rsidR="00696CFB" w:rsidRPr="00521C33" w14:paraId="4E3DF4D6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  <w:hideMark/>
          </w:tcPr>
          <w:p w14:paraId="7D6E9C92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  <w:hideMark/>
          </w:tcPr>
          <w:p w14:paraId="17798347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promociji poljoprivrede i/ili trženju lokalnih poljoprivrednih proizvoda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14:paraId="2BAE068C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max. 25</w:t>
            </w:r>
          </w:p>
        </w:tc>
      </w:tr>
      <w:tr w:rsidR="00696CFB" w:rsidRPr="00521C33" w14:paraId="21AEE493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39E696A0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14:paraId="5E2D4CA5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tematske parkove, staze i puteve vezane uz promociju poljoprivredne proizvodnje</w:t>
            </w:r>
          </w:p>
        </w:tc>
        <w:tc>
          <w:tcPr>
            <w:tcW w:w="1135" w:type="dxa"/>
            <w:noWrap/>
            <w:vAlign w:val="center"/>
            <w:hideMark/>
          </w:tcPr>
          <w:p w14:paraId="0AE22B97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25</w:t>
            </w:r>
          </w:p>
        </w:tc>
      </w:tr>
      <w:tr w:rsidR="00696CFB" w:rsidRPr="00521C33" w14:paraId="776A6E66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4D838F07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14:paraId="4B12DF27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seljačke tržnice</w:t>
            </w:r>
          </w:p>
        </w:tc>
        <w:tc>
          <w:tcPr>
            <w:tcW w:w="1135" w:type="dxa"/>
            <w:noWrap/>
            <w:vAlign w:val="center"/>
            <w:hideMark/>
          </w:tcPr>
          <w:p w14:paraId="2E07AC51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20</w:t>
            </w:r>
          </w:p>
        </w:tc>
      </w:tr>
      <w:tr w:rsidR="00696CFB" w:rsidRPr="00521C33" w14:paraId="4CB81899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491A2A21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0BCEFD32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Doprinos kvaliteti života djece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1ED42C66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max. 15</w:t>
            </w:r>
          </w:p>
        </w:tc>
      </w:tr>
      <w:tr w:rsidR="00696CFB" w:rsidRPr="00521C33" w14:paraId="716CFFA8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4D9493BA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14:paraId="57F420DC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ulaganje u objekte za ostvarivanje organizirane njege, odgoja, obrazovanja i zaštite djece do polaska u osnovnu školu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9D6D0A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14:paraId="5E98B714" w14:textId="77777777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7D98C6DD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14:paraId="69120FC8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dječja igrališta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F46377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283CBA90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23B45501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582DDFED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u multifunkcionalnu društvenu infrastrukturu za javnu uporabu kojom upravlja udruga i kojom se koristi više interesnih skupina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vertAlign w:val="superscript"/>
              </w:rPr>
              <w:footnoteReference w:id="1"/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(suradnja/umrežavanje LEADER načelo)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72F47BC2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52EB83B2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3CCDEE2B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4336C8E1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u javno dostupnu infrastrukturu otvorenu za sve pojedince i sve interesne skupine</w:t>
            </w:r>
            <w:r w:rsidRPr="00521C33"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14:paraId="27C530BD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5CB01C0F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302836FB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14:paraId="11D20391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očuvanju postojećih ili stvaranju novih radnih mjesta (povećanje zaposlenosti s punim radnim vremenom)</w:t>
            </w:r>
            <w:r w:rsidR="003E0EAB" w:rsidRPr="003E0EAB">
              <w:rPr>
                <w:rStyle w:val="Referencafusnote"/>
                <w:rFonts w:cs="Times New Roman"/>
                <w:b/>
              </w:rPr>
              <w:t xml:space="preserve"> </w:t>
            </w:r>
            <w:r w:rsidR="003E0EAB" w:rsidRPr="003E0EAB">
              <w:rPr>
                <w:rStyle w:val="Referencafusnote"/>
                <w:rFonts w:cs="Times New Roman"/>
                <w:b/>
              </w:rPr>
              <w:footnoteReference w:id="3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14:paraId="40DF96FC" w14:textId="77777777" w:rsidR="00696CFB" w:rsidRPr="00521C33" w:rsidRDefault="000216C0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max. </w:t>
            </w:r>
            <w:r w:rsidR="00696CFB"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14:paraId="48ACD196" w14:textId="77777777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6B315578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14:paraId="5EA8DD9E" w14:textId="77777777"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ulaganja će doprinijeti povećanju radnih mjesta i to više od 2, iskazano u ekvivalentu pune zaposlenosti (FTE)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F4AEE83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14:paraId="3E631FAE" w14:textId="77777777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28F13199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14:paraId="480886B6" w14:textId="77777777"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ulaganja će doprinijeti povećanju radnih mjesta više od 0.5 do uključujući 2 radna mjesta, iskazano u ekvivalentu pune zaposlenosti (FTE)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A24BC94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5D87EA86" w14:textId="77777777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7BC32C9A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14:paraId="0992FA59" w14:textId="77777777"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ulaganjima </w:t>
            </w:r>
            <w:r w:rsidR="003E0EAB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će se 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očuvat</w:t>
            </w:r>
            <w:r w:rsidR="003E0EAB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postojeća radna mjesta ili ista povećati do uključujući 0.5 radnih mjesta, iskazano u ekvivalentu pune zaposlenosti (FTE)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69AD91C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696CFB" w:rsidRPr="00521C33" w14:paraId="5B760F02" w14:textId="77777777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423D1156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6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14:paraId="3BCEF758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Tip ulaganja/prioritetno ulaganje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14:paraId="0DF3C26A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max. 15</w:t>
            </w:r>
          </w:p>
        </w:tc>
      </w:tr>
      <w:tr w:rsidR="00696CFB" w:rsidRPr="00521C33" w14:paraId="137ACFA3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5B2AA9E6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vAlign w:val="center"/>
            <w:hideMark/>
          </w:tcPr>
          <w:p w14:paraId="0EC4C528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rekonstrukciju (s ili bez opremanja)</w:t>
            </w:r>
          </w:p>
        </w:tc>
        <w:tc>
          <w:tcPr>
            <w:tcW w:w="1135" w:type="dxa"/>
            <w:noWrap/>
            <w:vAlign w:val="center"/>
            <w:hideMark/>
          </w:tcPr>
          <w:p w14:paraId="2DCC58E3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14:paraId="66ABC689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697C6B84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14:paraId="653595D8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građenje i opremanje</w:t>
            </w:r>
          </w:p>
        </w:tc>
        <w:tc>
          <w:tcPr>
            <w:tcW w:w="1135" w:type="dxa"/>
            <w:noWrap/>
            <w:vAlign w:val="center"/>
            <w:hideMark/>
          </w:tcPr>
          <w:p w14:paraId="53C27914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4DEF7779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14:paraId="66EC608A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14:paraId="1540881E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građenje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14:paraId="67B2B5A5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696CFB" w:rsidRPr="00521C33" w14:paraId="45BA81D3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76C73272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7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14:paraId="52E74948" w14:textId="77777777" w:rsidR="00696CFB" w:rsidRPr="00521C33" w:rsidRDefault="00696CFB" w:rsidP="00193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l</w:t>
            </w: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aganje je inovativnog karaktera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vertAlign w:val="superscript"/>
              </w:rPr>
              <w:footnoteReference w:id="4"/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14:paraId="0DF33164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14:paraId="22A3729A" w14:textId="77777777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1F1353D8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8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14:paraId="4384574A" w14:textId="77777777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većem broju ciljeva LRS-a (integrirane aktivnosti/LEADER načelo)</w:t>
            </w:r>
            <w:r w:rsidRPr="003E0EAB">
              <w:rPr>
                <w:rStyle w:val="Referencafusnote"/>
                <w:rFonts w:cs="Times New Roman"/>
                <w:b/>
              </w:rPr>
              <w:footnoteReference w:id="5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14:paraId="47159935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max.             10</w:t>
            </w:r>
          </w:p>
        </w:tc>
      </w:tr>
      <w:tr w:rsidR="00696CFB" w:rsidRPr="00521C33" w14:paraId="578F366F" w14:textId="77777777" w:rsidTr="003E0E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</w:tcPr>
          <w:p w14:paraId="73704A72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</w:tcPr>
          <w:p w14:paraId="35E4E2B6" w14:textId="481406B8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doprinosi ostvarivanju</w:t>
            </w:r>
            <w:r w:rsidR="00746634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2 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cilja LRS-a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8DA3E27" w14:textId="77777777" w:rsidR="00696CFB" w:rsidRPr="003E0EAB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E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6CFB" w:rsidRPr="00521C33" w14:paraId="61D82B94" w14:textId="77777777" w:rsidTr="003E0E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</w:tcPr>
          <w:p w14:paraId="2C28191E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</w:tcPr>
          <w:p w14:paraId="195850BE" w14:textId="51055444"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ulaganje doprinosi ostvarivanju </w:t>
            </w:r>
            <w:r w:rsidR="00746634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cilja LRS-a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C1E4F61" w14:textId="77777777" w:rsidR="00696CFB" w:rsidRPr="003E0EAB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CFB" w:rsidRPr="00521C33" w14:paraId="423C07F7" w14:textId="77777777" w:rsidTr="003E341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3D0CC9F9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MAKSIMALNI BROJ BODOVA</w:t>
            </w:r>
            <w:r>
              <w:rPr>
                <w:rStyle w:val="Referencafusnote"/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footnoteReference w:id="6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14:paraId="2EAD1CF1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75</w:t>
            </w:r>
          </w:p>
        </w:tc>
      </w:tr>
      <w:tr w:rsidR="00696CFB" w:rsidRPr="00521C33" w14:paraId="41516257" w14:textId="77777777" w:rsidTr="003E341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140A7456" w14:textId="77777777"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PRAG PROLAZNOSTI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14:paraId="701DC667" w14:textId="77777777"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25</w:t>
            </w:r>
          </w:p>
        </w:tc>
      </w:tr>
    </w:tbl>
    <w:p w14:paraId="6A36866F" w14:textId="77777777" w:rsidR="00696CFB" w:rsidRDefault="00696CFB"/>
    <w:sectPr w:rsidR="0069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ED49" w14:textId="77777777" w:rsidR="00620383" w:rsidRDefault="00620383" w:rsidP="00521C33">
      <w:pPr>
        <w:spacing w:after="0" w:line="240" w:lineRule="auto"/>
      </w:pPr>
      <w:r>
        <w:separator/>
      </w:r>
    </w:p>
  </w:endnote>
  <w:endnote w:type="continuationSeparator" w:id="0">
    <w:p w14:paraId="204FC13A" w14:textId="77777777" w:rsidR="00620383" w:rsidRDefault="00620383" w:rsidP="0052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417E" w14:textId="77777777" w:rsidR="00620383" w:rsidRDefault="00620383" w:rsidP="00521C33">
      <w:pPr>
        <w:spacing w:after="0" w:line="240" w:lineRule="auto"/>
      </w:pPr>
      <w:r>
        <w:separator/>
      </w:r>
    </w:p>
  </w:footnote>
  <w:footnote w:type="continuationSeparator" w:id="0">
    <w:p w14:paraId="1FDD5D2E" w14:textId="77777777" w:rsidR="00620383" w:rsidRDefault="00620383" w:rsidP="00521C33">
      <w:pPr>
        <w:spacing w:after="0" w:line="240" w:lineRule="auto"/>
      </w:pPr>
      <w:r>
        <w:continuationSeparator/>
      </w:r>
    </w:p>
  </w:footnote>
  <w:footnote w:id="1">
    <w:p w14:paraId="0D135C13" w14:textId="77777777" w:rsidR="00696CFB" w:rsidRDefault="00696CFB" w:rsidP="00DA3C7F">
      <w:pPr>
        <w:pStyle w:val="Tekstfusnote"/>
        <w:spacing w:after="40"/>
        <w:rPr>
          <w:rFonts w:cs="Times New Roman"/>
          <w:sz w:val="16"/>
          <w:szCs w:val="16"/>
        </w:rPr>
      </w:pPr>
      <w:r>
        <w:rPr>
          <w:rStyle w:val="Referencafusnot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Npr. društveni domovi, kulturni centri, vatrogasni domovi i spremišta, planinarski domovi i skloništa, sportske građevine, objekti za slatkovodni sportski ribolov.</w:t>
      </w:r>
    </w:p>
  </w:footnote>
  <w:footnote w:id="2">
    <w:p w14:paraId="3ABFEEB7" w14:textId="77777777" w:rsidR="00696CFB" w:rsidRDefault="00696CFB" w:rsidP="00DA3C7F">
      <w:pPr>
        <w:pStyle w:val="Tekstfusnote"/>
        <w:spacing w:after="40"/>
        <w:rPr>
          <w:rFonts w:cs="Times New Roman"/>
          <w:sz w:val="16"/>
          <w:szCs w:val="16"/>
        </w:rPr>
      </w:pPr>
      <w:r>
        <w:rPr>
          <w:rStyle w:val="Referencafusnot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Javne zelene površine – parkovi i sl.; pješačke staze; pješačke zone; otvoreni odvodni kanali koji nisu sastavni dio ceste; groblja, javne prometne površine – trgovi, pothodnici, nadvožnjaci, javne stube i prolazi; sportske građevine kojim ne upravlja udruga, rekreacijske zone  na rijekama i jezerima, biciklističke staze i trake, turistički informativni centri</w:t>
      </w:r>
    </w:p>
  </w:footnote>
  <w:footnote w:id="3">
    <w:p w14:paraId="7035A397" w14:textId="77777777" w:rsidR="003E0EAB" w:rsidRDefault="003E0EAB" w:rsidP="00DA3C7F">
      <w:pPr>
        <w:pStyle w:val="StandardWeb"/>
        <w:spacing w:after="40"/>
        <w:jc w:val="both"/>
        <w:rPr>
          <w:sz w:val="16"/>
          <w:szCs w:val="16"/>
        </w:rPr>
      </w:pPr>
      <w:r>
        <w:rPr>
          <w:rStyle w:val="Referencafusnot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45DF0">
        <w:rPr>
          <w:sz w:val="16"/>
          <w:szCs w:val="16"/>
        </w:rPr>
        <w:t>Nosite</w:t>
      </w:r>
      <w:r>
        <w:rPr>
          <w:sz w:val="16"/>
          <w:szCs w:val="16"/>
        </w:rPr>
        <w:t xml:space="preserve">lj projekta treba obrazložiti pod točkom </w:t>
      </w:r>
      <w:r w:rsidRPr="00745DF0">
        <w:rPr>
          <w:sz w:val="16"/>
          <w:szCs w:val="16"/>
        </w:rPr>
        <w:t>3.4.2. Priloga III. Opis projekta</w:t>
      </w:r>
      <w:r>
        <w:rPr>
          <w:sz w:val="16"/>
          <w:szCs w:val="16"/>
        </w:rPr>
        <w:t xml:space="preserve"> na koji način ulaganje doprinosi očuvanju postojećih ili stvaranju novih radnih mjesta</w:t>
      </w:r>
      <w:r w:rsidRPr="00745DF0">
        <w:rPr>
          <w:sz w:val="16"/>
          <w:szCs w:val="16"/>
        </w:rPr>
        <w:t>.</w:t>
      </w:r>
    </w:p>
  </w:footnote>
  <w:footnote w:id="4">
    <w:p w14:paraId="54D1D223" w14:textId="77777777" w:rsidR="00696CFB" w:rsidRDefault="00696CFB" w:rsidP="00DA3C7F">
      <w:pPr>
        <w:pStyle w:val="Tekstfusnote"/>
        <w:spacing w:after="40"/>
        <w:rPr>
          <w:rFonts w:cs="Times New Roman"/>
          <w:sz w:val="16"/>
          <w:szCs w:val="16"/>
        </w:rPr>
      </w:pPr>
      <w:r>
        <w:rPr>
          <w:rStyle w:val="Referencafusnot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Nositelj projekta dostavlja obrazloženje, ocjenjivači prosuđuju. Inovativnost podrazumijeva nove, inovativne mogućnosti podizanja kvalitete života u području ulaganja.</w:t>
      </w:r>
      <w:r w:rsidR="005C61F0">
        <w:rPr>
          <w:rFonts w:cs="Times New Roman"/>
          <w:sz w:val="16"/>
          <w:szCs w:val="16"/>
        </w:rPr>
        <w:t xml:space="preserve"> </w:t>
      </w:r>
      <w:r w:rsidR="005C61F0" w:rsidRPr="00745DF0">
        <w:rPr>
          <w:rFonts w:cs="Times New Roman"/>
          <w:sz w:val="16"/>
          <w:szCs w:val="16"/>
        </w:rPr>
        <w:t>Nositelj projekta treba obrazložiti u Prilogu III. Opis projekta na koji način je ulaganje inovativno.</w:t>
      </w:r>
      <w:r w:rsidR="005C61F0">
        <w:rPr>
          <w:rFonts w:cs="Times New Roman"/>
          <w:sz w:val="16"/>
          <w:szCs w:val="16"/>
        </w:rPr>
        <w:t xml:space="preserve"> </w:t>
      </w:r>
    </w:p>
  </w:footnote>
  <w:footnote w:id="5">
    <w:p w14:paraId="10777357" w14:textId="569BDF52" w:rsidR="00696CFB" w:rsidRDefault="00696CFB" w:rsidP="00DA3C7F">
      <w:pPr>
        <w:pStyle w:val="StandardWeb"/>
        <w:spacing w:after="40"/>
        <w:jc w:val="both"/>
        <w:rPr>
          <w:sz w:val="16"/>
          <w:szCs w:val="16"/>
        </w:rPr>
      </w:pPr>
      <w:r>
        <w:rPr>
          <w:rStyle w:val="Referencafusnote"/>
          <w:sz w:val="16"/>
          <w:szCs w:val="16"/>
        </w:rPr>
        <w:footnoteRef/>
      </w:r>
      <w:r>
        <w:rPr>
          <w:sz w:val="16"/>
          <w:szCs w:val="16"/>
        </w:rPr>
        <w:t xml:space="preserve"> Nositelj projekta dostavlja obrazloženje, </w:t>
      </w:r>
      <w:r w:rsidRPr="002F549D">
        <w:rPr>
          <w:sz w:val="16"/>
          <w:szCs w:val="16"/>
        </w:rPr>
        <w:t>koje ocjenjuje Ocjenjivački odbor</w:t>
      </w:r>
      <w:r w:rsidR="005C61F0">
        <w:rPr>
          <w:sz w:val="16"/>
          <w:szCs w:val="16"/>
        </w:rPr>
        <w:t xml:space="preserve">. </w:t>
      </w:r>
      <w:r w:rsidR="005C61F0" w:rsidRPr="00745DF0">
        <w:rPr>
          <w:sz w:val="16"/>
          <w:szCs w:val="16"/>
        </w:rPr>
        <w:t xml:space="preserve">Nositelj projekta treba obrazložiti u Prilogu III. Opis projekta na koji način ulaganje doprinosi ciljevima (minimalno </w:t>
      </w:r>
      <w:r w:rsidR="00746634">
        <w:rPr>
          <w:sz w:val="16"/>
          <w:szCs w:val="16"/>
        </w:rPr>
        <w:t>1</w:t>
      </w:r>
      <w:r w:rsidR="005C61F0" w:rsidRPr="00745DF0">
        <w:rPr>
          <w:sz w:val="16"/>
          <w:szCs w:val="16"/>
        </w:rPr>
        <w:t xml:space="preserve"> cilj) LRS LAG-a „</w:t>
      </w:r>
      <w:r w:rsidR="00405E1B">
        <w:rPr>
          <w:sz w:val="16"/>
          <w:szCs w:val="16"/>
        </w:rPr>
        <w:t>VINODOL</w:t>
      </w:r>
      <w:r w:rsidR="005C61F0" w:rsidRPr="00745DF0">
        <w:rPr>
          <w:sz w:val="16"/>
          <w:szCs w:val="16"/>
        </w:rPr>
        <w:t>“, kako bi se ostvarili bodovi po ovom kriteriju. LRS LAG-a „</w:t>
      </w:r>
      <w:r w:rsidR="00405E1B">
        <w:rPr>
          <w:sz w:val="16"/>
          <w:szCs w:val="16"/>
        </w:rPr>
        <w:t>VINODOL</w:t>
      </w:r>
      <w:r w:rsidR="005C61F0" w:rsidRPr="00745DF0">
        <w:rPr>
          <w:sz w:val="16"/>
          <w:szCs w:val="16"/>
        </w:rPr>
        <w:t xml:space="preserve">“ dostupna je na </w:t>
      </w:r>
      <w:hyperlink r:id="rId1" w:history="1">
        <w:r w:rsidR="005B3449" w:rsidRPr="00745DF0">
          <w:rPr>
            <w:rStyle w:val="Hiperveza"/>
            <w:sz w:val="16"/>
            <w:szCs w:val="16"/>
          </w:rPr>
          <w:t>www.</w:t>
        </w:r>
        <w:r w:rsidR="005B3449" w:rsidRPr="005B3449">
          <w:rPr>
            <w:rStyle w:val="Hiperveza"/>
            <w:sz w:val="16"/>
            <w:szCs w:val="16"/>
          </w:rPr>
          <w:t>lag-</w:t>
        </w:r>
        <w:r w:rsidR="005B3449" w:rsidRPr="001978EA">
          <w:rPr>
            <w:rStyle w:val="Hiperveza"/>
            <w:sz w:val="16"/>
            <w:szCs w:val="16"/>
          </w:rPr>
          <w:t>vinodol</w:t>
        </w:r>
        <w:r w:rsidR="005B3449" w:rsidRPr="00745DF0">
          <w:rPr>
            <w:rStyle w:val="Hiperveza"/>
            <w:sz w:val="16"/>
            <w:szCs w:val="16"/>
          </w:rPr>
          <w:t>.hr</w:t>
        </w:r>
      </w:hyperlink>
      <w:r w:rsidR="005C61F0" w:rsidRPr="00745DF0">
        <w:rPr>
          <w:sz w:val="16"/>
          <w:szCs w:val="16"/>
        </w:rPr>
        <w:t>. Doprinos Cilju 3.</w:t>
      </w:r>
      <w:r w:rsidR="00F86D7C">
        <w:rPr>
          <w:sz w:val="16"/>
          <w:szCs w:val="16"/>
        </w:rPr>
        <w:t xml:space="preserve"> </w:t>
      </w:r>
      <w:r w:rsidR="005C61F0" w:rsidRPr="00745DF0">
        <w:rPr>
          <w:sz w:val="16"/>
          <w:szCs w:val="16"/>
        </w:rPr>
        <w:t xml:space="preserve">može se </w:t>
      </w:r>
      <w:r w:rsidR="005C61F0" w:rsidRPr="003E0EAB">
        <w:rPr>
          <w:sz w:val="16"/>
          <w:szCs w:val="16"/>
        </w:rPr>
        <w:t xml:space="preserve">dokazati isključivo </w:t>
      </w:r>
      <w:r w:rsidR="003E341C" w:rsidRPr="003E0EAB">
        <w:rPr>
          <w:sz w:val="16"/>
          <w:szCs w:val="16"/>
        </w:rPr>
        <w:t>očuvanjem/</w:t>
      </w:r>
      <w:r w:rsidR="005C61F0" w:rsidRPr="003E0EAB">
        <w:rPr>
          <w:sz w:val="16"/>
          <w:szCs w:val="16"/>
        </w:rPr>
        <w:t xml:space="preserve">stvaranjem </w:t>
      </w:r>
      <w:r w:rsidR="003E341C" w:rsidRPr="003E0EAB">
        <w:rPr>
          <w:sz w:val="16"/>
          <w:szCs w:val="16"/>
        </w:rPr>
        <w:t>radnih mjesta,</w:t>
      </w:r>
      <w:r w:rsidR="003E341C">
        <w:rPr>
          <w:sz w:val="16"/>
          <w:szCs w:val="16"/>
        </w:rPr>
        <w:t xml:space="preserve"> što je</w:t>
      </w:r>
      <w:r w:rsidR="005C61F0" w:rsidRPr="00745DF0">
        <w:rPr>
          <w:sz w:val="16"/>
          <w:szCs w:val="16"/>
        </w:rPr>
        <w:t xml:space="preserve"> potrebno obrazložiti </w:t>
      </w:r>
      <w:r w:rsidR="003E0EAB">
        <w:rPr>
          <w:sz w:val="16"/>
          <w:szCs w:val="16"/>
        </w:rPr>
        <w:t>pod točkom</w:t>
      </w:r>
      <w:r w:rsidR="005C61F0" w:rsidRPr="00745DF0">
        <w:rPr>
          <w:sz w:val="16"/>
          <w:szCs w:val="16"/>
        </w:rPr>
        <w:t xml:space="preserve"> 3.4.2. Priloga III. Opis projekta.</w:t>
      </w:r>
    </w:p>
  </w:footnote>
  <w:footnote w:id="6">
    <w:p w14:paraId="5190964A" w14:textId="77777777" w:rsidR="00696CFB" w:rsidRPr="00696CFB" w:rsidRDefault="00696CFB" w:rsidP="00DA3C7F">
      <w:pPr>
        <w:pStyle w:val="Tekstfusnote"/>
        <w:spacing w:after="40"/>
        <w:rPr>
          <w:rFonts w:cs="Times New Roman"/>
          <w:sz w:val="16"/>
          <w:szCs w:val="16"/>
        </w:rPr>
      </w:pPr>
      <w:r w:rsidRPr="00696CFB">
        <w:rPr>
          <w:rFonts w:cs="Times New Roman"/>
          <w:sz w:val="16"/>
          <w:szCs w:val="16"/>
          <w:vertAlign w:val="superscript"/>
        </w:rPr>
        <w:footnoteRef/>
      </w:r>
      <w:r w:rsidRPr="00696CFB">
        <w:rPr>
          <w:rFonts w:cs="Times New Roman"/>
          <w:sz w:val="16"/>
          <w:szCs w:val="16"/>
          <w:vertAlign w:val="superscript"/>
        </w:rPr>
        <w:t xml:space="preserve"> </w:t>
      </w:r>
      <w:r w:rsidRPr="00696CFB">
        <w:rPr>
          <w:rFonts w:cs="Times New Roman"/>
          <w:sz w:val="16"/>
          <w:szCs w:val="16"/>
        </w:rPr>
        <w:t xml:space="preserve">Kriteriji odabira 1, 2, 3 i 4 se međusobno isključuju – nositelj projekta može ostvariti bodove samo po </w:t>
      </w:r>
      <w:r w:rsidR="003E0EAB">
        <w:rPr>
          <w:rFonts w:cs="Times New Roman"/>
          <w:sz w:val="16"/>
          <w:szCs w:val="16"/>
        </w:rPr>
        <w:t>jednoj</w:t>
      </w:r>
      <w:r w:rsidRPr="00696CFB">
        <w:rPr>
          <w:rFonts w:cs="Times New Roman"/>
          <w:sz w:val="16"/>
          <w:szCs w:val="16"/>
        </w:rPr>
        <w:t xml:space="preserve"> osnovi.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33"/>
    <w:rsid w:val="000216C0"/>
    <w:rsid w:val="003C118C"/>
    <w:rsid w:val="003E0EAB"/>
    <w:rsid w:val="003E341C"/>
    <w:rsid w:val="00405E1B"/>
    <w:rsid w:val="004850D9"/>
    <w:rsid w:val="00521C33"/>
    <w:rsid w:val="005B3449"/>
    <w:rsid w:val="005C61F0"/>
    <w:rsid w:val="00620383"/>
    <w:rsid w:val="00696CFB"/>
    <w:rsid w:val="00745DF0"/>
    <w:rsid w:val="00746634"/>
    <w:rsid w:val="007B7B77"/>
    <w:rsid w:val="00837164"/>
    <w:rsid w:val="009B22EB"/>
    <w:rsid w:val="00A47145"/>
    <w:rsid w:val="00AD7C3F"/>
    <w:rsid w:val="00C157E0"/>
    <w:rsid w:val="00C3094E"/>
    <w:rsid w:val="00C76967"/>
    <w:rsid w:val="00D0545A"/>
    <w:rsid w:val="00DA3C7F"/>
    <w:rsid w:val="00E658DD"/>
    <w:rsid w:val="00F4276A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948"/>
  <w15:chartTrackingRefBased/>
  <w15:docId w15:val="{3A2BC6FB-5112-4D8B-8FA8-A6E47DE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1C33"/>
    <w:rPr>
      <w:rFonts w:ascii="Times New Roman" w:hAnsi="Times New Roman" w:cs="Times New Roman"/>
      <w:sz w:val="24"/>
      <w:szCs w:val="24"/>
    </w:rPr>
  </w:style>
  <w:style w:type="table" w:styleId="Svijetlatablicareetke1-isticanje6">
    <w:name w:val="Grid Table 1 Light Accent 6"/>
    <w:basedOn w:val="Obinatablica"/>
    <w:uiPriority w:val="46"/>
    <w:rsid w:val="00521C3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unhideWhenUsed/>
    <w:rsid w:val="00521C3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21C33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521C3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1F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C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-vinodo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35B-735B-43E7-8FE1-488EA72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LAG2</cp:lastModifiedBy>
  <cp:revision>4</cp:revision>
  <cp:lastPrinted>2020-11-05T09:46:00Z</cp:lastPrinted>
  <dcterms:created xsi:type="dcterms:W3CDTF">2020-10-22T12:53:00Z</dcterms:created>
  <dcterms:modified xsi:type="dcterms:W3CDTF">2020-11-05T09:55:00Z</dcterms:modified>
</cp:coreProperties>
</file>