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34EE9BA4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</w:t>
      </w:r>
      <w:r w:rsidR="0016735C">
        <w:rPr>
          <w:rFonts w:eastAsia="Times New Roman" w:cstheme="minorHAnsi"/>
          <w:b/>
          <w:color w:val="000000"/>
          <w:lang w:val="hr-HR"/>
        </w:rPr>
        <w:t>MJERU 3.1.1. „POKRETANJE, POBOLJŠANJE ILI PROŠIRENJE LOKALNIH TEMELJNIH USLUGA ZA RURALNO STANOVNIŠTVO“</w:t>
      </w:r>
      <w:r w:rsidR="009E203A" w:rsidRPr="009E203A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16735C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140978DC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 xml:space="preserve">Svi dokumenti navedeni u popisu moraju biti priloženi prema redoslijedu </w:t>
            </w:r>
            <w:r w:rsidRPr="0075164D">
              <w:rPr>
                <w:rFonts w:asciiTheme="minorHAnsi" w:hAnsiTheme="minorHAnsi" w:cstheme="minorHAnsi"/>
                <w:bCs/>
                <w:i/>
              </w:rPr>
              <w:t>(r. br</w:t>
            </w:r>
            <w:r w:rsidR="0016735C" w:rsidRPr="0075164D">
              <w:rPr>
                <w:rFonts w:asciiTheme="minorHAnsi" w:hAnsiTheme="minorHAnsi" w:cstheme="minorHAnsi"/>
                <w:bCs/>
                <w:i/>
              </w:rPr>
              <w:t>. 1.-</w:t>
            </w:r>
            <w:r w:rsidR="0075164D" w:rsidRPr="0075164D">
              <w:rPr>
                <w:rFonts w:asciiTheme="minorHAnsi" w:hAnsiTheme="minorHAnsi" w:cstheme="minorHAnsi"/>
                <w:bCs/>
                <w:i/>
              </w:rPr>
              <w:t>20</w:t>
            </w:r>
            <w:r w:rsidR="0016735C" w:rsidRPr="0075164D">
              <w:rPr>
                <w:rFonts w:asciiTheme="minorHAnsi" w:hAnsiTheme="minorHAnsi" w:cstheme="minorHAnsi"/>
                <w:bCs/>
                <w:i/>
              </w:rPr>
              <w:t>.</w:t>
            </w:r>
            <w:r w:rsidRPr="0075164D">
              <w:rPr>
                <w:rFonts w:asciiTheme="minorHAnsi" w:hAnsiTheme="minorHAnsi" w:cstheme="minorHAnsi"/>
                <w:bCs/>
                <w:i/>
              </w:rPr>
              <w:t>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07808F8E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 xml:space="preserve">točkama </w:t>
            </w:r>
            <w:r w:rsidR="00F07470" w:rsidRPr="0075164D">
              <w:rPr>
                <w:rFonts w:cstheme="minorHAnsi"/>
                <w:i/>
                <w:color w:val="000000"/>
                <w:sz w:val="20"/>
                <w:lang w:val="hr-HR"/>
              </w:rPr>
              <w:t>2</w:t>
            </w:r>
            <w:r w:rsidR="003060C9" w:rsidRPr="0075164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75164D" w:rsidRPr="0075164D">
              <w:rPr>
                <w:rFonts w:cstheme="minorHAnsi"/>
                <w:i/>
                <w:color w:val="000000"/>
                <w:sz w:val="20"/>
                <w:lang w:val="hr-HR"/>
              </w:rPr>
              <w:t>20</w:t>
            </w:r>
            <w:r w:rsidRPr="0075164D">
              <w:rPr>
                <w:rFonts w:cstheme="minorHAnsi"/>
                <w:i/>
                <w:color w:val="000000"/>
                <w:sz w:val="20"/>
                <w:lang w:val="hr-HR"/>
              </w:rPr>
              <w:t>.)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2F06DF27" w:rsidR="00DD5F3E" w:rsidRDefault="006A7572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35AB9636" w14:textId="77777777" w:rsidR="00967C81" w:rsidRPr="009E203A" w:rsidRDefault="00967C8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BB" w14:textId="0BD3A2C8" w:rsidR="006A7572" w:rsidRPr="00D42695" w:rsidRDefault="00967C81" w:rsidP="002304C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>P</w:t>
            </w:r>
            <w:r w:rsidR="009C0391">
              <w:rPr>
                <w:rFonts w:cstheme="minorHAnsi"/>
                <w:i/>
                <w:color w:val="000000"/>
                <w:sz w:val="20"/>
                <w:lang w:val="hr-HR"/>
              </w:rPr>
              <w:t>reuzmite p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>redložak Plana nabave/Tablica troškova i izračun potpore (Obrazac B. – sastavni dio Natječaja)</w:t>
            </w:r>
            <w:r w:rsidR="009C039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te ga popunite 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u skladu s pojašnjenjima i uputama koji su njegov sastavni dio. Obrazac se </w:t>
            </w:r>
            <w:r>
              <w:rPr>
                <w:rFonts w:cstheme="minorHAnsi"/>
                <w:i/>
                <w:color w:val="000000"/>
                <w:sz w:val="20"/>
                <w:lang w:val="hr-HR"/>
              </w:rPr>
              <w:t>dostavlja u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elektroničkom obliku (DVD ili CD s oznakom R:CD/R, DVD/R). U svrhu podnošenja prijave projekta nositelj projekta popunjava samo prvi dio - Plan nabave.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15475" w:rsidRPr="009E203A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64934A34" w:rsidR="00215475" w:rsidRDefault="0021547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Pr="00AE6B07">
              <w:rPr>
                <w:rFonts w:cs="Calibri"/>
                <w:b/>
                <w:bCs/>
              </w:rPr>
              <w:t xml:space="preserve">kt </w:t>
            </w:r>
            <w:proofErr w:type="spellStart"/>
            <w:r w:rsidRPr="00AE6B07">
              <w:rPr>
                <w:rFonts w:cs="Calibri"/>
                <w:b/>
                <w:bCs/>
              </w:rPr>
              <w:t>kojim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se </w:t>
            </w:r>
            <w:proofErr w:type="spellStart"/>
            <w:r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prema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Zakonu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AE6B07">
              <w:rPr>
                <w:rFonts w:cs="Calibri"/>
                <w:b/>
                <w:bCs/>
              </w:rPr>
              <w:t>gradnji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izdan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od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ili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tijela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Pr="00AE6B07">
              <w:rPr>
                <w:rFonts w:cs="Calibri"/>
                <w:b/>
                <w:bCs/>
              </w:rPr>
              <w:t>upravne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poslove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i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AE6B07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ili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Izjav</w:t>
            </w:r>
            <w:r>
              <w:rPr>
                <w:rFonts w:cs="Calibri"/>
                <w:b/>
                <w:bCs/>
              </w:rPr>
              <w:t>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ovlaštenog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projektanta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za </w:t>
            </w:r>
            <w:proofErr w:type="spellStart"/>
            <w:r w:rsidRPr="0072013D">
              <w:rPr>
                <w:rFonts w:cs="Calibri"/>
                <w:b/>
                <w:bCs/>
              </w:rPr>
              <w:t>predmetno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ulaganje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građenje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nove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>/</w:t>
            </w:r>
            <w:proofErr w:type="spellStart"/>
            <w:r w:rsidRPr="0072013D">
              <w:rPr>
                <w:rFonts w:cs="Calibri"/>
                <w:b/>
                <w:bCs/>
              </w:rPr>
              <w:t>rekonstrukciju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postojeće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sukladno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Zakonu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gradnji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Pravilniku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o </w:t>
            </w:r>
            <w:proofErr w:type="spellStart"/>
            <w:r w:rsidRPr="0072013D">
              <w:rPr>
                <w:rFonts w:cs="Calibri"/>
                <w:b/>
                <w:bCs/>
              </w:rPr>
              <w:t>jednostavnim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drugim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građevinama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radovima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nije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potrebno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ishoditi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građevinsku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dozvolu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i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kojom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potvrđuje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da je </w:t>
            </w:r>
            <w:proofErr w:type="spellStart"/>
            <w:r w:rsidRPr="0072013D">
              <w:rPr>
                <w:rFonts w:cs="Calibri"/>
                <w:b/>
                <w:bCs/>
              </w:rPr>
              <w:t>planirani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zahvat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u </w:t>
            </w:r>
            <w:proofErr w:type="spellStart"/>
            <w:r w:rsidRPr="0072013D">
              <w:rPr>
                <w:rFonts w:cs="Calibri"/>
                <w:b/>
                <w:bCs/>
              </w:rPr>
              <w:t>skladu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s </w:t>
            </w:r>
            <w:proofErr w:type="spellStart"/>
            <w:r w:rsidRPr="0072013D">
              <w:rPr>
                <w:rFonts w:cs="Calibri"/>
                <w:b/>
                <w:bCs/>
              </w:rPr>
              <w:t>Prostornim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planom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uređenja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jedinice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lokalne</w:t>
            </w:r>
            <w:proofErr w:type="spellEnd"/>
            <w:r w:rsidRPr="0072013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72013D">
              <w:rPr>
                <w:rFonts w:cs="Calibri"/>
                <w:b/>
                <w:bCs/>
              </w:rPr>
              <w:t>samouprave</w:t>
            </w:r>
            <w:proofErr w:type="spellEnd"/>
          </w:p>
          <w:p w14:paraId="0303BD6B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502B8BD" w14:textId="1C9AB979" w:rsidR="00215475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76CA2242" w14:textId="77777777" w:rsidR="00215475" w:rsidRPr="009E203A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5E220E0" w14:textId="48F1B45C" w:rsidR="003E6D5F" w:rsidRPr="002A7586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U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dručje gradnje dostaviti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građevinsku dozvolu (ili drugi akt kojim se odobrava građ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enje).  </w:t>
            </w:r>
          </w:p>
          <w:p w14:paraId="69792C79" w14:textId="37E5CED3" w:rsidR="003E6D5F" w:rsidRPr="002A7586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projekta. Lokacija ulaganja iz 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23C482D7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504C4C40" w14:textId="159679C4" w:rsidR="00215475" w:rsidRDefault="007844DD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 potrebno je u dostaviti Izjavu potpisanu i ovjerenu od strane ovlaštenog projektanta kojom se potvrđuje da se ulaganje može provesti bez građevinske dozvole i da je predmetno ulaganje u skladu s Prostornim planom uređenja JLS. Izjava se mora odnositi na predmetno ulaganje,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9E203A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</w:tc>
      </w:tr>
      <w:tr w:rsidR="00F40FB5" w:rsidRPr="009E203A" w14:paraId="145A3D20" w14:textId="77777777" w:rsidTr="00967C81">
        <w:trPr>
          <w:trHeight w:val="580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7A993154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</w:t>
            </w:r>
            <w:r w:rsidR="00AB59F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postojeće građevine </w:t>
            </w:r>
            <w:r w:rsidR="00634060" w:rsidRPr="00AB59F1">
              <w:rPr>
                <w:rFonts w:eastAsia="Times New Roman" w:cstheme="minorHAnsi"/>
                <w:bCs/>
                <w:i/>
                <w:color w:val="000000"/>
                <w:sz w:val="20"/>
                <w:lang w:val="hr-HR"/>
              </w:rPr>
              <w:t>i/ili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</w:t>
            </w:r>
            <w:r w:rsidR="00AB59F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</w:t>
            </w:r>
            <w:r w:rsidR="00AB59F1" w:rsidRPr="00AB59F1">
              <w:rPr>
                <w:rFonts w:eastAsia="Times New Roman" w:cstheme="minorHAnsi"/>
                <w:bCs/>
                <w:i/>
                <w:color w:val="000000"/>
                <w:sz w:val="20"/>
                <w:lang w:val="hr-HR"/>
              </w:rPr>
              <w:t>ulaganja u</w:t>
            </w:r>
            <w:r w:rsidR="00AB59F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 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opremanje </w:t>
            </w:r>
            <w:r w:rsidR="00AB59F1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postojeće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građevine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. 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77B2E785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03616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  <w:tr w:rsidR="005C594B" w:rsidRPr="009E203A" w14:paraId="4C8310C6" w14:textId="77777777" w:rsidTr="000B3C0E">
        <w:trPr>
          <w:trHeight w:val="19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1DE96" w14:textId="7CB159FF" w:rsidR="005C594B" w:rsidRDefault="005C594B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19.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47F2" w14:textId="78199D35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vadak iz Registra udruga iz kojeg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je vidljivo tr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enutačno i prethodn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o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udruge te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kada su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promjene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sjedišta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nastupile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(ako je primjenjivo)</w:t>
            </w:r>
            <w:r w:rsidR="007B4DA1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>izdan nakon dana objave LAG Natječaja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.    </w:t>
            </w:r>
          </w:p>
          <w:p w14:paraId="7F20B3D2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C0D43A7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5C594B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85341E6" w14:textId="0187CA36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3A50378" w14:textId="649F3698" w:rsidR="005C594B" w:rsidRPr="000B3C0E" w:rsidRDefault="007B4DA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da je nositelj projekta udruga potrebno je dostaviti izvadak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Registra udruga izdan nakon dana objave LAG Natječaja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se 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potvrđuje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 udruge nalazi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 području LAG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  <w:tr w:rsidR="00864473" w:rsidRPr="009E203A" w14:paraId="6357C979" w14:textId="77777777" w:rsidTr="000B3C0E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1BBC1" w14:textId="7759D9C3" w:rsidR="00864473" w:rsidRDefault="00864473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DDCE3" w14:textId="4AFE5C5B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Registra evidencije vjerskih zajednica u Republici Hrvatskoj/Evidencije pravnih osoba Katoličke Crkve u Republici Hrvatskoj 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iz kojeg je vidljivo trenut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ačno i prethodno 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vjerske zajednice/</w:t>
            </w:r>
            <w:r w:rsidR="000B3C0E">
              <w:rPr>
                <w:rFonts w:eastAsia="Times New Roman" w:cstheme="minorHAnsi"/>
                <w:b/>
                <w:color w:val="000000"/>
                <w:lang w:val="hr-HR"/>
              </w:rPr>
              <w:t>organizacijskog oblika vjerske zajednice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 xml:space="preserve"> te kada su promjene sjedišta nastupile (ako je primjenjivo), izdan nakon dana objave LAG Natječaja.  </w:t>
            </w:r>
          </w:p>
          <w:p w14:paraId="36C334CB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5D8216" w14:textId="79CD221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DA1BE19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29CC5A9" w14:textId="1CDE5307" w:rsidR="00456D03" w:rsidRPr="000B3C0E" w:rsidRDefault="00864473" w:rsidP="005C594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slučaj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da je nositelj projekta vjerska zajednica/</w:t>
            </w:r>
            <w:r w:rsid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organizacijski oblik vjerske zajednice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potrebno je dostaviti izvadak iz </w:t>
            </w:r>
            <w:r w:rsidRPr="0086447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Registra evidencije vjerskih zajednica u Republici Hrvatskoj/Evidencije pravnih osoba Katoličke Crkve u Republici Hrvatskoj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izdan nakon dana objave LAG Natječaja 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se potvrđuje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nalazi na području LAG </w:t>
            </w:r>
            <w:proofErr w:type="spellStart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087E3AC1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potrebe</w:t>
            </w:r>
            <w:r w:rsidR="00B66111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LAG</w:t>
            </w:r>
            <w:r w:rsidR="00B66111">
              <w:rPr>
                <w:rFonts w:eastAsia="Times New Roman" w:cstheme="minorHAnsi"/>
                <w:color w:val="000000"/>
                <w:lang w:val="hr-HR"/>
              </w:rPr>
              <w:t xml:space="preserve"> „VINODOL“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 xml:space="preserve">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A3A0" w14:textId="77777777" w:rsidR="00C70952" w:rsidRDefault="00C70952" w:rsidP="00BD65B3">
      <w:pPr>
        <w:spacing w:after="0" w:line="240" w:lineRule="auto"/>
      </w:pPr>
      <w:r>
        <w:separator/>
      </w:r>
    </w:p>
  </w:endnote>
  <w:endnote w:type="continuationSeparator" w:id="0">
    <w:p w14:paraId="5F3AAC56" w14:textId="77777777" w:rsidR="00C70952" w:rsidRDefault="00C70952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9981" w14:textId="77777777" w:rsidR="00C70952" w:rsidRDefault="00C70952" w:rsidP="00BD65B3">
      <w:pPr>
        <w:spacing w:after="0" w:line="240" w:lineRule="auto"/>
      </w:pPr>
      <w:r>
        <w:separator/>
      </w:r>
    </w:p>
  </w:footnote>
  <w:footnote w:type="continuationSeparator" w:id="0">
    <w:p w14:paraId="1E376A24" w14:textId="77777777" w:rsidR="00C70952" w:rsidRDefault="00C70952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02475">
    <w:abstractNumId w:val="17"/>
  </w:num>
  <w:num w:numId="2" w16cid:durableId="413018262">
    <w:abstractNumId w:val="16"/>
  </w:num>
  <w:num w:numId="3" w16cid:durableId="1157304269">
    <w:abstractNumId w:val="24"/>
  </w:num>
  <w:num w:numId="4" w16cid:durableId="1420448084">
    <w:abstractNumId w:val="8"/>
  </w:num>
  <w:num w:numId="5" w16cid:durableId="1489514960">
    <w:abstractNumId w:val="14"/>
  </w:num>
  <w:num w:numId="6" w16cid:durableId="1117525266">
    <w:abstractNumId w:val="26"/>
  </w:num>
  <w:num w:numId="7" w16cid:durableId="695430009">
    <w:abstractNumId w:val="10"/>
  </w:num>
  <w:num w:numId="8" w16cid:durableId="1251114883">
    <w:abstractNumId w:val="12"/>
  </w:num>
  <w:num w:numId="9" w16cid:durableId="12654491">
    <w:abstractNumId w:val="9"/>
  </w:num>
  <w:num w:numId="10" w16cid:durableId="2143645163">
    <w:abstractNumId w:val="21"/>
  </w:num>
  <w:num w:numId="11" w16cid:durableId="990866835">
    <w:abstractNumId w:val="5"/>
  </w:num>
  <w:num w:numId="12" w16cid:durableId="2033341302">
    <w:abstractNumId w:val="3"/>
  </w:num>
  <w:num w:numId="13" w16cid:durableId="890311666">
    <w:abstractNumId w:val="1"/>
  </w:num>
  <w:num w:numId="14" w16cid:durableId="1001855980">
    <w:abstractNumId w:val="4"/>
  </w:num>
  <w:num w:numId="15" w16cid:durableId="1130438589">
    <w:abstractNumId w:val="29"/>
  </w:num>
  <w:num w:numId="16" w16cid:durableId="1709068854">
    <w:abstractNumId w:val="28"/>
  </w:num>
  <w:num w:numId="17" w16cid:durableId="356545201">
    <w:abstractNumId w:val="27"/>
  </w:num>
  <w:num w:numId="18" w16cid:durableId="354624979">
    <w:abstractNumId w:val="20"/>
  </w:num>
  <w:num w:numId="19" w16cid:durableId="367996814">
    <w:abstractNumId w:val="2"/>
  </w:num>
  <w:num w:numId="20" w16cid:durableId="1354265219">
    <w:abstractNumId w:val="15"/>
  </w:num>
  <w:num w:numId="21" w16cid:durableId="992870615">
    <w:abstractNumId w:val="22"/>
  </w:num>
  <w:num w:numId="22" w16cid:durableId="1778139451">
    <w:abstractNumId w:val="19"/>
  </w:num>
  <w:num w:numId="23" w16cid:durableId="1930188043">
    <w:abstractNumId w:val="7"/>
  </w:num>
  <w:num w:numId="24" w16cid:durableId="25957431">
    <w:abstractNumId w:val="0"/>
  </w:num>
  <w:num w:numId="25" w16cid:durableId="409934839">
    <w:abstractNumId w:val="18"/>
  </w:num>
  <w:num w:numId="26" w16cid:durableId="341321088">
    <w:abstractNumId w:val="13"/>
  </w:num>
  <w:num w:numId="27" w16cid:durableId="1513957271">
    <w:abstractNumId w:val="6"/>
  </w:num>
  <w:num w:numId="28" w16cid:durableId="1774521152">
    <w:abstractNumId w:val="11"/>
  </w:num>
  <w:num w:numId="29" w16cid:durableId="1888835174">
    <w:abstractNumId w:val="25"/>
  </w:num>
  <w:num w:numId="30" w16cid:durableId="10446763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1F13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6165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3C0E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6735C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041"/>
    <w:rsid w:val="0021474C"/>
    <w:rsid w:val="00215475"/>
    <w:rsid w:val="00215999"/>
    <w:rsid w:val="00221EA3"/>
    <w:rsid w:val="00222ADE"/>
    <w:rsid w:val="00222AEB"/>
    <w:rsid w:val="002244A9"/>
    <w:rsid w:val="002257B0"/>
    <w:rsid w:val="002304CD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347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3F780E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6D0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879AE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594B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060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164D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4DA1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1D61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473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0DE5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4325"/>
    <w:rsid w:val="009668CD"/>
    <w:rsid w:val="00967C81"/>
    <w:rsid w:val="009723CD"/>
    <w:rsid w:val="00973BE5"/>
    <w:rsid w:val="00974CC0"/>
    <w:rsid w:val="009757AD"/>
    <w:rsid w:val="009833E0"/>
    <w:rsid w:val="009838E9"/>
    <w:rsid w:val="00983F33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0391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593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9F1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111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45D6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0952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A65C5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3EC8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16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04A4E-AB33-48C4-824F-CE6168F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Marjan Baričević</cp:lastModifiedBy>
  <cp:revision>25</cp:revision>
  <cp:lastPrinted>2018-01-30T08:23:00Z</cp:lastPrinted>
  <dcterms:created xsi:type="dcterms:W3CDTF">2018-09-21T14:30:00Z</dcterms:created>
  <dcterms:modified xsi:type="dcterms:W3CDTF">2022-11-15T13:12:00Z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